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544"/>
        </w:tabs>
        <w:ind w:right="-91" w:firstLine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FIRMEZA DE ACUERDOS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544"/>
        </w:tabs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SESIÓN No. 1868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544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544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Firmeza del acuerdo de la Sesión No. 1868, Artículo 3, inciso m, del 15 de febrero de 1996. Declaratoria de interés institucional la Feria de la Salud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spacing w:after="0" w:before="120" w:lineRule="auto"/>
        <w:ind w:left="566" w:hanging="28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Feria de la Salud es una actividad dirigida a la Comunidad Institucional y Cartaginesa, cuyo objetivo es organizar y desarrollar acciones de prevención primaria y secundaria tendientes a la promoción del desarrollo humano, la educación para la salud, el control, detección y tratamiento oportuno.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ind w:left="283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spacing w:after="0" w:before="120" w:lineRule="auto"/>
        <w:ind w:left="566" w:hanging="28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Centro de Investigación para la Protección Ambiental (CIPA), desarrolla un programa activo de educación en temas relacionados con la prevención de enfermedades.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ind w:left="283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spacing w:after="0" w:before="120" w:lineRule="auto"/>
        <w:ind w:left="566" w:hanging="28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Consejo Institucional en su Sesión No. 1825, Artículo 6, del 25 de mayo de 1995, conoció la iniciativa para llevar a cabo la I Feria de la Salud y solicitó al Departamento de Trabajo Social y Salud, el detalle de las implicaciones para el Instituto, en particular lo referente a la consecución de recursos, para analizar la conveniencia de declarar esta actividad permanente, el cual no se ha presentado.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ind w:left="283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ind w:left="0" w:firstLine="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ind w:left="283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ind w:left="1210" w:right="0" w:hanging="28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Calificar de interés institucional la II Feria de la Salud a celebrarse los días 16 y 17 de mayo de 1996, organizada por el Departamento de Trabajo Social y Salud.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spacing w:after="0" w:before="120" w:lineRule="auto"/>
        <w:ind w:left="1210" w:hanging="28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Solicitar a la Vicerrectoría de Administración que asigne un monto de ¢205.000,00 (doscientos cinco mil colones 00/100) para cubrir los costos de la actividad, haciendo los ajustes en la partida de Productos Alimenticios a Personas.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spacing w:after="0" w:before="120" w:lineRule="auto"/>
        <w:ind w:left="1210" w:hanging="28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Recomendar  al Departamento de Trabajo Social y Salud coordinar la ejecución de algunas actividades con la participación del Centro de Investigación para la Protección Ambiental (CIPA).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120" w:lineRule="auto"/>
        <w:ind w:left="85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spacing w:after="0" w:before="120" w:lineRule="auto"/>
        <w:ind w:left="1210" w:hanging="28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Reiterar al Departamento de Trabajo Social Salud  la solicitud contenida en el acuerdo de la Sesión No. 1825, Artículo 6, inciso b, del 25 de mayo de 1995.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ind w:left="283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Firmeza del acuerdo de la Sesión No. 1868, Artículo 20, del 15 de febrero de 1996. Propuesta de admisión para Colegios Universitarios Estatales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70" w:right="567" w:hanging="403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1373" w:right="51" w:hanging="40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Debe existir una mayor articulación entre los diferentes componentes del sistema educativo del país.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70" w:right="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1373" w:right="51" w:hanging="40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personal docente de los Colegios Universitarios (estatales) supera en mucho el grado mínimo de diplomado que debe poseer para impartir lecciones.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70" w:right="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1373" w:right="51" w:hanging="40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definición de crédito en las Universidades Estatales es muy similar a la utilizada en los Colegios Universitarios.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70" w:right="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1373" w:right="51" w:hanging="40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Existe un dictamen afirmativo de la Comisión nombrada por el Consejo de Rectoría (3-059-95, del 19 de abril de 1995).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70" w:right="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970" w:right="51" w:hanging="40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Centro de Desarrollo Académico (CEDA) recomienda admitir a los graduados de los Colegios Universitarios, en las carreras afines al Instituto Tecnológico de Costa 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76" w:right="51" w:hanging="425.9999999999999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" w:right="5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ind w:left="567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Dispensar en el proceso de admisión al Instituto Tecnológico de Costa Rica del cumplimiento del requisito establecido como Examen de Admisión a los graduados de Colegios Universitarios del Sistema Estatal.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Firmeza del acuerdo de la Sesión No. 1868, Artículo 25, del 15 de febrero de 1996. Propuesta para reforzar el recurso humano en la Oficina de Asesoría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 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La Oficina de Asesoría Legal participa activamente en la Comisión Bipartita, Comisión Permanente de Estatuto Orgánico, Consejo Institucional y de Rectoría, Junta de Relaciones Laborales, entre otros.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Los recursos humanos profesionales de la Oficina de Asesoría Legal cuentan con una alta demanda por la importancia de los temas que preocupan a las autoridades institucionales.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Recomendar al señor Rector la contratación de personal asistente en el área de abogacía para la Oficina de Asesoría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16"/>
          <w:szCs w:val="16"/>
          <w:rtl w:val="0"/>
        </w:rPr>
        <w:t xml:space="preserve">mah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16"/>
          <w:szCs w:val="16"/>
          <w:rtl w:val="0"/>
        </w:rPr>
        <w:t xml:space="preserve">21-2-96</w:t>
      </w:r>
      <w:r w:rsidDel="00000000" w:rsidR="00000000" w:rsidRPr="00000000">
        <w:rPr>
          <w:rtl w:val="0"/>
        </w:rPr>
      </w:r>
    </w:p>
    <w:sectPr>
      <w:pgSz w:h="15840" w:w="12240"/>
      <w:pgMar w:bottom="1418" w:top="1418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283" w:firstLine="0"/>
      </w:pPr>
      <w:rPr/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440" w:firstLine="1080"/>
      </w:pPr>
      <w:rPr/>
    </w:lvl>
    <w:lvl w:ilvl="3">
      <w:start w:val="1"/>
      <w:numFmt w:val="decimal"/>
      <w:lvlText w:val="%4."/>
      <w:lvlJc w:val="left"/>
      <w:pPr>
        <w:ind w:left="1800" w:firstLine="1440"/>
      </w:pPr>
      <w:rPr/>
    </w:lvl>
    <w:lvl w:ilvl="4">
      <w:start w:val="1"/>
      <w:numFmt w:val="decimal"/>
      <w:lvlText w:val="%5."/>
      <w:lvlJc w:val="left"/>
      <w:pPr>
        <w:ind w:left="2160" w:firstLine="1800"/>
      </w:pPr>
      <w:rPr/>
    </w:lvl>
    <w:lvl w:ilvl="5">
      <w:start w:val="1"/>
      <w:numFmt w:val="decimal"/>
      <w:lvlText w:val="%6."/>
      <w:lvlJc w:val="left"/>
      <w:pPr>
        <w:ind w:left="2520" w:firstLine="2160"/>
      </w:pPr>
      <w:rPr/>
    </w:lvl>
    <w:lvl w:ilvl="6">
      <w:start w:val="1"/>
      <w:numFmt w:val="decimal"/>
      <w:lvlText w:val="%7."/>
      <w:lvlJc w:val="left"/>
      <w:pPr>
        <w:ind w:left="2880" w:firstLine="2520"/>
      </w:pPr>
      <w:rPr/>
    </w:lvl>
    <w:lvl w:ilvl="7">
      <w:start w:val="1"/>
      <w:numFmt w:val="decimal"/>
      <w:lvlText w:val="%8."/>
      <w:lvlJc w:val="left"/>
      <w:pPr>
        <w:ind w:left="3240" w:firstLine="2880"/>
      </w:pPr>
      <w:rPr/>
    </w:lvl>
    <w:lvl w:ilvl="8">
      <w:start w:val="1"/>
      <w:numFmt w:val="decimal"/>
      <w:lvlText w:val="%9."/>
      <w:lvlJc w:val="left"/>
      <w:pPr>
        <w:ind w:left="3600" w:firstLine="32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03" w:firstLine="0"/>
      </w:pPr>
      <w:rPr/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440" w:firstLine="1080"/>
      </w:pPr>
      <w:rPr/>
    </w:lvl>
    <w:lvl w:ilvl="3">
      <w:start w:val="1"/>
      <w:numFmt w:val="decimal"/>
      <w:lvlText w:val="%4."/>
      <w:lvlJc w:val="left"/>
      <w:pPr>
        <w:ind w:left="1800" w:firstLine="1440"/>
      </w:pPr>
      <w:rPr/>
    </w:lvl>
    <w:lvl w:ilvl="4">
      <w:start w:val="1"/>
      <w:numFmt w:val="decimal"/>
      <w:lvlText w:val="%5."/>
      <w:lvlJc w:val="left"/>
      <w:pPr>
        <w:ind w:left="2160" w:firstLine="1800"/>
      </w:pPr>
      <w:rPr/>
    </w:lvl>
    <w:lvl w:ilvl="5">
      <w:start w:val="1"/>
      <w:numFmt w:val="decimal"/>
      <w:lvlText w:val="%6."/>
      <w:lvlJc w:val="left"/>
      <w:pPr>
        <w:ind w:left="2520" w:firstLine="2160"/>
      </w:pPr>
      <w:rPr/>
    </w:lvl>
    <w:lvl w:ilvl="6">
      <w:start w:val="1"/>
      <w:numFmt w:val="decimal"/>
      <w:lvlText w:val="%7."/>
      <w:lvlJc w:val="left"/>
      <w:pPr>
        <w:ind w:left="2880" w:firstLine="2520"/>
      </w:pPr>
      <w:rPr/>
    </w:lvl>
    <w:lvl w:ilvl="7">
      <w:start w:val="1"/>
      <w:numFmt w:val="decimal"/>
      <w:lvlText w:val="%8."/>
      <w:lvlJc w:val="left"/>
      <w:pPr>
        <w:ind w:left="3240" w:firstLine="2880"/>
      </w:pPr>
      <w:rPr/>
    </w:lvl>
    <w:lvl w:ilvl="8">
      <w:start w:val="1"/>
      <w:numFmt w:val="decimal"/>
      <w:lvlText w:val="%9."/>
      <w:lvlJc w:val="left"/>
      <w:pPr>
        <w:ind w:left="3600" w:firstLine="32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