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SCI-477-2001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14 de noviembre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Josefa Guzmán L., Vicerrectora de Docencia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MAE. William Vives B., Vicerrector de Vida Estudiantil y Servicios Académicos</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Ing. Ricardo Aguilar D., Vicerrector de Investigación y Extensión</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MAE. Bernal Martínez G., Director de la Sede Regional San Carlos</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Arq. Jorge Sancho V., Director del Centro Académico de San José</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MBA. Leda V., Coronado, Presidenta de la Asociación de Profesionales del Instituto Tecnológico de Costa Rica (APROTEC)</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Prof. Carlos Martínez F., Secretario General de la Asociación de Funcionarios del Instituto Tecnológico de Costa Rica (AFITEC)</w:t>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Licda. Ana Ruth Vílchez R., Directora del Departamento de Recursos Humanos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jc w:val="both"/>
            </w:pPr>
            <w:r w:rsidDel="00000000" w:rsidR="00000000" w:rsidRPr="00000000">
              <w:rPr>
                <w:rFonts w:ascii="Arial" w:cs="Arial" w:eastAsia="Arial" w:hAnsi="Arial"/>
                <w:b w:val="1"/>
                <w:sz w:val="20"/>
                <w:szCs w:val="20"/>
                <w:vertAlign w:val="baseline"/>
                <w:rtl w:val="0"/>
              </w:rPr>
              <w:t xml:space="preserve">Comunidad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2204, Artículo 5, del 14 de noviembre del 2001.  Respuesta a la Solicitud de cambio de fecha para el disfrute de las vacaciones de fin y principio de año, presentada por la Asociación de Profesionales del Instituto Tecnológico de Costa Rica (APROTEC) y la Asociación de Funcionarios del Instituto Tecnológico de Costa Rica (AFITEC)</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2171, Artículo 12, del 18 de mayo del 2001, estableció el período de vacaciones correspondientes al II Semestre del 2001.</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2201, del 3 de noviembre del 2001, conoció nota de la Asociación de Profesionales del Instituto Tecnológico de Costa Rica (APROTEC), en la cual solicitan analizar la posibilidad de revisar las fechas del período de vacaciones de fin y principio de año. </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2203, del 9 de noviembre del 2001, conoció nota del Comité Ejecutivo AFITEC-168-01, del 9 de noviembre del 2001, sobre el período de vacaciones de fin y principio de año, además remiten un anexo de firmas de funcionarios apoyando dicha solicitud. </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2204, Artículo 5, del 14 de noviembre del 2001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esa misma Sesión se solicitó a la Presidencia de este Consejo, una propuesta de acuerdo debidamente dictaminada para poder atender dicho planteamiento.</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nota ViDa-900-2001, del 14 de noviembre del 2001, sobre el acuerdo de Consejo de Docencia de la Sesión No. 18-01, celebrada el 13 de noviembre del 2001, el cual dice: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tbl>
      <w:tblPr>
        <w:tblStyle w:val="Table2"/>
        <w:bidi w:val="0"/>
        <w:tblW w:w="7920.0" w:type="dxa"/>
        <w:jc w:val="left"/>
        <w:tblInd w:w="360.0" w:type="dxa"/>
        <w:tblLayout w:type="fixed"/>
        <w:tblLook w:val="0000"/>
      </w:tblPr>
      <w:tblGrid>
        <w:gridCol w:w="180"/>
        <w:gridCol w:w="7740"/>
        <w:tblGridChange w:id="0">
          <w:tblGrid>
            <w:gridCol w:w="180"/>
            <w:gridCol w:w="7740"/>
          </w:tblGrid>
        </w:tblGridChange>
      </w:tblGrid>
      <w:tr>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tc>
        <w:tc>
          <w:tcPr/>
          <w:p w:rsidR="00000000" w:rsidDel="00000000" w:rsidP="00000000" w:rsidRDefault="00000000" w:rsidRPr="00000000">
            <w:pPr>
              <w:numPr>
                <w:ilvl w:val="1"/>
                <w:numId w:val="2"/>
              </w:numPr>
              <w:ind w:left="110" w:right="51" w:hanging="180"/>
              <w:jc w:val="both"/>
              <w:rPr>
                <w:b w:val="0"/>
                <w:sz w:val="20"/>
                <w:szCs w:val="20"/>
              </w:rPr>
            </w:pPr>
            <w:r w:rsidDel="00000000" w:rsidR="00000000" w:rsidRPr="00000000">
              <w:rPr>
                <w:rFonts w:ascii="Arial" w:cs="Arial" w:eastAsia="Arial" w:hAnsi="Arial"/>
                <w:sz w:val="20"/>
                <w:szCs w:val="20"/>
                <w:vertAlign w:val="baseline"/>
                <w:rtl w:val="0"/>
              </w:rPr>
              <w:t xml:space="preserve">Ratificar el período para las vacaciones del personal establecido en el Calendario Institucional vigente para el 2001.</w:t>
            </w:r>
            <w:r w:rsidDel="00000000" w:rsidR="00000000" w:rsidRPr="00000000">
              <w:rPr>
                <w:rtl w:val="0"/>
              </w:rPr>
            </w:r>
          </w:p>
          <w:p w:rsidR="00000000" w:rsidDel="00000000" w:rsidP="00000000" w:rsidRDefault="00000000" w:rsidRPr="00000000">
            <w:pPr>
              <w:ind w:left="110" w:right="51" w:hanging="180"/>
              <w:contextualSpacing w:val="0"/>
              <w:jc w:val="both"/>
            </w:pPr>
            <w:r w:rsidDel="00000000" w:rsidR="00000000" w:rsidRPr="00000000">
              <w:rPr>
                <w:rtl w:val="0"/>
              </w:rPr>
            </w:r>
          </w:p>
        </w:tc>
      </w:tr>
      <w:tr>
        <w:tc>
          <w:tcPr/>
          <w:p w:rsidR="00000000" w:rsidDel="00000000" w:rsidP="00000000" w:rsidRDefault="00000000" w:rsidRPr="00000000">
            <w:pPr>
              <w:ind w:right="51"/>
              <w:contextualSpacing w:val="0"/>
              <w:jc w:val="both"/>
            </w:pPr>
            <w:r w:rsidDel="00000000" w:rsidR="00000000" w:rsidRPr="00000000">
              <w:rPr>
                <w:rtl w:val="0"/>
              </w:rPr>
            </w:r>
          </w:p>
        </w:tc>
        <w:tc>
          <w:tcPr/>
          <w:p w:rsidR="00000000" w:rsidDel="00000000" w:rsidP="00000000" w:rsidRDefault="00000000" w:rsidRPr="00000000">
            <w:pPr>
              <w:numPr>
                <w:ilvl w:val="1"/>
                <w:numId w:val="2"/>
              </w:numPr>
              <w:ind w:left="110" w:right="51" w:hanging="180"/>
              <w:jc w:val="both"/>
              <w:rPr>
                <w:b w:val="0"/>
                <w:sz w:val="22"/>
                <w:szCs w:val="22"/>
              </w:rPr>
            </w:pPr>
            <w:r w:rsidDel="00000000" w:rsidR="00000000" w:rsidRPr="00000000">
              <w:rPr>
                <w:rFonts w:ascii="Arial" w:cs="Arial" w:eastAsia="Arial" w:hAnsi="Arial"/>
                <w:sz w:val="20"/>
                <w:szCs w:val="20"/>
                <w:vertAlign w:val="baseline"/>
                <w:rtl w:val="0"/>
              </w:rPr>
              <w:t xml:space="preserve">Solicitar al Consejo Institucional considerar las implicaciones negativas que tendría la modificación del período de vacaciones, en la programación de las actividades académico-administrativas de fin del 2001 y principio del 2002.”</w:t>
            </w:r>
            <w:r w:rsidDel="00000000" w:rsidR="00000000" w:rsidRPr="00000000">
              <w:rPr>
                <w:rtl w:val="0"/>
              </w:rPr>
            </w:r>
          </w:p>
        </w:tc>
      </w:tr>
    </w:tbl>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left="1080" w:right="51"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nota VIESA-378-2001, del 13 de noviembre del 2001, en la cual da respuesta a la consulta sobre las implicaciones que tendría el cambiar las vacaciones de fin y principio de año.</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numPr>
          <w:ilvl w:val="0"/>
          <w:numId w:val="1"/>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Ratificar el inciso b, del Artículo 12, de la Sesión No. 2171, del 18 de mayo del 2001, sobre el período de vacaciones de fin y principio de año, el cual dice:</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360" w:right="567" w:firstLine="0"/>
        <w:contextualSpacing w:val="0"/>
      </w:pPr>
      <w:r w:rsidDel="00000000" w:rsidR="00000000" w:rsidRPr="00000000">
        <w:rPr>
          <w:rFonts w:ascii="Arial" w:cs="Arial" w:eastAsia="Arial" w:hAnsi="Arial"/>
          <w:b w:val="1"/>
          <w:sz w:val="22"/>
          <w:szCs w:val="22"/>
          <w:vertAlign w:val="baseline"/>
          <w:rtl w:val="0"/>
        </w:rPr>
        <w:t xml:space="preserve">III  Vacaciones</w:t>
      </w:r>
    </w:p>
    <w:p w:rsidR="00000000" w:rsidDel="00000000" w:rsidP="00000000" w:rsidRDefault="00000000" w:rsidRPr="00000000">
      <w:pPr>
        <w:ind w:left="360" w:hanging="360"/>
        <w:contextualSpacing w:val="0"/>
      </w:pPr>
      <w:r w:rsidDel="00000000" w:rsidR="00000000" w:rsidRPr="00000000">
        <w:rPr>
          <w:rtl w:val="0"/>
        </w:rPr>
      </w:r>
    </w:p>
    <w:tbl>
      <w:tblPr>
        <w:tblStyle w:val="Table3"/>
        <w:bidi w:val="0"/>
        <w:tblW w:w="7230.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552"/>
        <w:gridCol w:w="1843"/>
        <w:tblGridChange w:id="0">
          <w:tblGrid>
            <w:gridCol w:w="2835"/>
            <w:gridCol w:w="2552"/>
            <w:gridCol w:w="1843"/>
          </w:tblGrid>
        </w:tblGridChange>
      </w:tblGrid>
      <w:tr>
        <w:trPr>
          <w:trHeight w:val="380" w:hRule="atLeast"/>
        </w:trPr>
        <w:tc>
          <w:tcPr/>
          <w:p w:rsidR="00000000" w:rsidDel="00000000" w:rsidP="00000000" w:rsidRDefault="00000000" w:rsidRPr="00000000">
            <w:pPr>
              <w:ind w:left="360" w:hanging="360"/>
              <w:contextualSpacing w:val="0"/>
              <w:jc w:val="center"/>
            </w:pPr>
            <w:r w:rsidDel="00000000" w:rsidR="00000000" w:rsidRPr="00000000">
              <w:rPr>
                <w:rFonts w:ascii="Arial" w:cs="Arial" w:eastAsia="Arial" w:hAnsi="Arial"/>
                <w:b w:val="1"/>
                <w:sz w:val="22"/>
                <w:szCs w:val="22"/>
                <w:vertAlign w:val="baseline"/>
                <w:rtl w:val="0"/>
              </w:rPr>
              <w:t xml:space="preserve">VACACIONES </w:t>
            </w:r>
            <w:r w:rsidDel="00000000" w:rsidR="00000000" w:rsidRPr="00000000">
              <w:rPr>
                <w:rtl w:val="0"/>
              </w:rPr>
            </w:r>
          </w:p>
        </w:tc>
        <w:tc>
          <w:tcPr/>
          <w:p w:rsidR="00000000" w:rsidDel="00000000" w:rsidP="00000000" w:rsidRDefault="00000000" w:rsidRPr="00000000">
            <w:pPr>
              <w:ind w:left="360" w:hanging="360"/>
              <w:contextualSpacing w:val="0"/>
              <w:jc w:val="center"/>
            </w:pPr>
            <w:r w:rsidDel="00000000" w:rsidR="00000000" w:rsidRPr="00000000">
              <w:rPr>
                <w:rFonts w:ascii="Arial" w:cs="Arial" w:eastAsia="Arial" w:hAnsi="Arial"/>
                <w:b w:val="1"/>
                <w:sz w:val="22"/>
                <w:szCs w:val="22"/>
                <w:vertAlign w:val="baseline"/>
                <w:rtl w:val="0"/>
              </w:rPr>
              <w:t xml:space="preserve">INICIO</w:t>
            </w:r>
            <w:r w:rsidDel="00000000" w:rsidR="00000000" w:rsidRPr="00000000">
              <w:rPr>
                <w:rtl w:val="0"/>
              </w:rPr>
            </w:r>
          </w:p>
        </w:tc>
        <w:tc>
          <w:tcPr/>
          <w:p w:rsidR="00000000" w:rsidDel="00000000" w:rsidP="00000000" w:rsidRDefault="00000000" w:rsidRPr="00000000">
            <w:pPr>
              <w:ind w:left="360" w:hanging="360"/>
              <w:contextualSpacing w:val="0"/>
              <w:jc w:val="center"/>
            </w:pPr>
            <w:r w:rsidDel="00000000" w:rsidR="00000000" w:rsidRPr="00000000">
              <w:rPr>
                <w:rFonts w:ascii="Arial" w:cs="Arial" w:eastAsia="Arial" w:hAnsi="Arial"/>
                <w:b w:val="1"/>
                <w:sz w:val="22"/>
                <w:szCs w:val="22"/>
                <w:vertAlign w:val="baseline"/>
                <w:rtl w:val="0"/>
              </w:rPr>
              <w:t xml:space="preserve">FIN</w:t>
            </w:r>
            <w:r w:rsidDel="00000000" w:rsidR="00000000" w:rsidRPr="00000000">
              <w:rPr>
                <w:rtl w:val="0"/>
              </w:rPr>
            </w:r>
          </w:p>
        </w:tc>
      </w:tr>
      <w:tr>
        <w:trPr>
          <w:trHeight w:val="300" w:hRule="atLeast"/>
        </w:trPr>
        <w:tc>
          <w:tcPr/>
          <w:p w:rsidR="00000000" w:rsidDel="00000000" w:rsidP="00000000" w:rsidRDefault="00000000" w:rsidRPr="00000000">
            <w:pPr>
              <w:ind w:left="360" w:hanging="360"/>
              <w:contextualSpacing w:val="0"/>
              <w:jc w:val="both"/>
            </w:pPr>
            <w:r w:rsidDel="00000000" w:rsidR="00000000" w:rsidRPr="00000000">
              <w:rPr>
                <w:rFonts w:ascii="Arial" w:cs="Arial" w:eastAsia="Arial" w:hAnsi="Arial"/>
                <w:sz w:val="22"/>
                <w:szCs w:val="22"/>
                <w:vertAlign w:val="baseline"/>
                <w:rtl w:val="0"/>
              </w:rPr>
              <w:t xml:space="preserve">Vacaciones 2001-2002</w:t>
            </w:r>
            <w:r w:rsidDel="00000000" w:rsidR="00000000" w:rsidRPr="00000000">
              <w:rPr>
                <w:rtl w:val="0"/>
              </w:rPr>
            </w:r>
          </w:p>
        </w:tc>
        <w:tc>
          <w:tcPr/>
          <w:p w:rsidR="00000000" w:rsidDel="00000000" w:rsidP="00000000" w:rsidRDefault="00000000" w:rsidRPr="00000000">
            <w:pPr>
              <w:ind w:left="360" w:hanging="360"/>
              <w:contextualSpacing w:val="0"/>
              <w:jc w:val="both"/>
            </w:pPr>
            <w:r w:rsidDel="00000000" w:rsidR="00000000" w:rsidRPr="00000000">
              <w:rPr>
                <w:rFonts w:ascii="Arial" w:cs="Arial" w:eastAsia="Arial" w:hAnsi="Arial"/>
                <w:sz w:val="22"/>
                <w:szCs w:val="22"/>
                <w:vertAlign w:val="baseline"/>
                <w:rtl w:val="0"/>
              </w:rPr>
              <w:t xml:space="preserve">17diciembre 2001 </w:t>
            </w:r>
            <w:r w:rsidDel="00000000" w:rsidR="00000000" w:rsidRPr="00000000">
              <w:rPr>
                <w:rtl w:val="0"/>
              </w:rPr>
            </w:r>
          </w:p>
        </w:tc>
        <w:tc>
          <w:tcPr/>
          <w:p w:rsidR="00000000" w:rsidDel="00000000" w:rsidP="00000000" w:rsidRDefault="00000000" w:rsidRPr="00000000">
            <w:pPr>
              <w:ind w:left="360" w:hanging="360"/>
              <w:contextualSpacing w:val="0"/>
              <w:jc w:val="both"/>
            </w:pPr>
            <w:r w:rsidDel="00000000" w:rsidR="00000000" w:rsidRPr="00000000">
              <w:rPr>
                <w:rFonts w:ascii="Arial" w:cs="Arial" w:eastAsia="Arial" w:hAnsi="Arial"/>
                <w:sz w:val="22"/>
                <w:szCs w:val="22"/>
                <w:vertAlign w:val="baseline"/>
                <w:rtl w:val="0"/>
              </w:rPr>
              <w:t xml:space="preserve">11 enero 2002</w:t>
            </w:r>
            <w:r w:rsidDel="00000000" w:rsidR="00000000" w:rsidRPr="00000000">
              <w:rPr>
                <w:rtl w:val="0"/>
              </w:rPr>
            </w:r>
          </w:p>
        </w:tc>
      </w:tr>
    </w:tbl>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Responder la solicitud planteada por la Asociación de Profesionales del Instituto Tecnológico de Costa Rica (APROTEC) y la Asociación de Funcionarios del Instituto Tecnológico de Costa Rica (AFITEC),  referente a la solicitud de cambio de fechas para el período de vacaciones de fin y principio de año.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Encomendar a la Rectoría aprovechar todos los espacios de comunicación disponibles, para explicar a la comunidad institucional las razones por las cuales no es conveniente cambiar el período establecido para el disfrute de las vacaciones.</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4"/>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258" w:top="1079"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354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Fax 591-8452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907" w:firstLine="567"/>
      </w:pPr>
      <w:rPr>
        <w:b w:val="1"/>
        <w:i w:val="0"/>
        <w:sz w:val="20"/>
        <w:szCs w:val="20"/>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