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SCI-495-2001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30 de noviembre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98"/>
              <w:contextualSpacing w:val="0"/>
              <w:jc w:val="both"/>
            </w:pPr>
            <w:r w:rsidDel="00000000" w:rsidR="00000000" w:rsidRPr="00000000">
              <w:rPr>
                <w:rFonts w:ascii="Arial" w:cs="Arial" w:eastAsia="Arial" w:hAnsi="Arial"/>
                <w:b w:val="1"/>
                <w:sz w:val="20"/>
                <w:szCs w:val="20"/>
                <w:vertAlign w:val="baseline"/>
                <w:rtl w:val="0"/>
              </w:rPr>
              <w:t xml:space="preserve">Diputado Ovidio Pacheco Salazar, Presidente del Directorio de la Asamblea Legislativa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98"/>
              <w:contextualSpacing w:val="0"/>
            </w:pPr>
            <w:r w:rsidDel="00000000" w:rsidR="00000000" w:rsidRPr="00000000">
              <w:rPr>
                <w:rFonts w:ascii="Arial" w:cs="Arial" w:eastAsia="Arial" w:hAnsi="Arial"/>
                <w:b w:val="1"/>
                <w:sz w:val="20"/>
                <w:szCs w:val="20"/>
                <w:vertAlign w:val="baseline"/>
                <w:rtl w:val="0"/>
              </w:rPr>
              <w:t xml:space="preserve">Diputada Ligia Castro Ulate, Presidenta de la Comisión de Asuntos Sociales de la Asamblea Legislativa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Dr. Gabriel Macaya, Presidente del Consejo Nacional de Rectores (CONARE)</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Consejo Universitario de la Universidad de Costa Rica (UCR)</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Consejo Universitario de la Universidad Nacional (UNA)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Consejo Universitario de la Universidad Estatal a Distancia (UNED)</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Cámara Nacional de Radio (CANARA)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Medios de Comunicación Colectiva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Marcela Guzmán O., Directora de la Oficina de Prensa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Comunidad Institucional del Instituto Tecnológico de Costa Rica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2208, Artículo 8, del 30 de noviembre del 2001.  Proyecto de Ley Reforma de Artículos 4, 5, 6, 31, 32, 34, de la Ley No.  7531 y su Reforma        Ley 7946 del Régimen de Pensiones y Jubilaciones del Magisterio Nacional, Expediente 14595</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2175, Artículo 4, del 5 de junio del 2001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integró una comisión de trabajo, tendiente a buscar soluciones para los trabajadores que enfrentan el problema del traslado al Régimen de la Caja Costarricense del Seguro Social. </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este momento una solución viable es lograr reformar algunos de los artículos de la Ley 7531 y sus Reformas Ley 7946 del Régimen de Pensiones y Jubilaciones del Magisterio Nacional.</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Gracias al apoyo de diputados de diferentes fracciones se ha logrado introducir en la corriente legislativa en este momento, un Proyecto de Ley que está siendo impulsado por una Comisión formada por Representantes de los Sindicatos de las Universidades Estatales, del Instituto Nacional de Aprendizaje (INA), el Sindicato Patriótico de la Educación (SINPAE) y la Comisión nombrada por el Consejo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Sesión No. 2208 Artículo 8 del 30 de noviembre del 2001</w:t>
      </w: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Fonts w:ascii="Arial" w:cs="Arial" w:eastAsia="Arial" w:hAnsi="Arial"/>
          <w:b w:val="0"/>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Dicho Proyecto quedó presentado el día jueves 29 de noviembre del 2001, en la Secretaría de la Asamblea Legislativa por 9 diputados, de tal modo que, el Poder Ejecutivo lo pueda poner en agenda.</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Según se nos ha informado en la Asamblea Legislativa, el día 13 de diciembre es el cierre de las Sesiones Extraordinarias, por lo que únicamente se cuenta con 7 días para realizar las gestiones pertinentes.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al señor Rector gestionar ante los señores diputados el apoyo para el trámite del Expediente en la Comisión de Asuntos Sociales.  Asimismo, solicitarle al Poder Ejecutivo se incluya como punto de agenda en sesiones extraordinarias el Proyecto presentado.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al Consejo Nacional de Rectores (CONARE), un acuerdo de apoyo a la Reforma de la citada Ley y que la hagan llegar al señor Presidente de la República, Dr. Miguel Ángel Rodríguez Echeverría y a cada uno de los miembros del Plenario Legislativo.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 la Rectoría, continuar dando las facilidades necesarias a los funcionarios que se encuentran participando en las gestiones relacionadas con el logro de solución a la problemática de los trabajadores trasladados a la Caja Costarricense del Seguro Social.  Estas facilidades incluyen permisos para participar en actividades dentro y fuera del Instituto Tecnológico de Costa Rica, transporte, reproducción de un documento de información acerca del Proyecto de Ley (Documento adjunto), para todos los funcionarios afectados y la divulgación de comunicados de prensa en los medios de comunicación colectiva nacionales.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widowControl w:val="0"/>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widowControl w:val="0"/>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Financiero Contable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Recursos Humanos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PROPUESTA DE PROYECTO DE LEY.</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2"/>
          <w:szCs w:val="22"/>
          <w:vertAlign w:val="baseline"/>
          <w:rtl w:val="0"/>
        </w:rPr>
        <w:br w:type="textWrapping"/>
        <w:t xml:space="preserve"> </w:t>
      </w:r>
      <w:r w:rsidDel="00000000" w:rsidR="00000000" w:rsidRPr="00000000">
        <w:rPr>
          <w:rFonts w:ascii="Arial" w:cs="Arial" w:eastAsia="Arial" w:hAnsi="Arial"/>
          <w:b w:val="1"/>
          <w:sz w:val="22"/>
          <w:szCs w:val="22"/>
          <w:vertAlign w:val="baseline"/>
          <w:rtl w:val="0"/>
        </w:rPr>
        <w:t xml:space="preserve">REFORMA DE LOS ARTICULOS 4,5,6,31,32,34 DE LA LEY NÚMERO 7531 Y SUREFORMA 7946 DEL RÉGIMEN DE PENSIONES Y JUBILACIONES DEL MAGISTERIO NACIONAL.</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br w:type="textWrapping"/>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Arial" w:cs="Arial" w:eastAsia="Arial" w:hAnsi="Arial"/>
          <w:b w:val="1"/>
          <w:sz w:val="28"/>
          <w:szCs w:val="28"/>
          <w:vertAlign w:val="baseline"/>
          <w:rtl w:val="0"/>
        </w:rPr>
        <w:t xml:space="preserve">EXPOSICIÓN DE MOTIVOS: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Ha sido una preocupación del constituyente costarricense ( artículo 74 y concordantes Constitución Política de la República de Costa Rica )  que en materia de </w:t>
      </w:r>
      <w:r w:rsidDel="00000000" w:rsidR="00000000" w:rsidRPr="00000000">
        <w:rPr>
          <w:rFonts w:ascii="Arial" w:cs="Arial" w:eastAsia="Arial" w:hAnsi="Arial"/>
          <w:b w:val="1"/>
          <w:sz w:val="22"/>
          <w:szCs w:val="22"/>
          <w:vertAlign w:val="baseline"/>
          <w:rtl w:val="0"/>
        </w:rPr>
        <w:t xml:space="preserve">legislación social</w:t>
      </w:r>
      <w:r w:rsidDel="00000000" w:rsidR="00000000" w:rsidRPr="00000000">
        <w:rPr>
          <w:rFonts w:ascii="Arial" w:cs="Arial" w:eastAsia="Arial" w:hAnsi="Arial"/>
          <w:sz w:val="22"/>
          <w:szCs w:val="22"/>
          <w:vertAlign w:val="baseline"/>
          <w:rtl w:val="0"/>
        </w:rPr>
        <w:t xml:space="preserve"> y de trabajo  se procure </w:t>
      </w:r>
      <w:r w:rsidDel="00000000" w:rsidR="00000000" w:rsidRPr="00000000">
        <w:rPr>
          <w:rFonts w:ascii="Arial" w:cs="Arial" w:eastAsia="Arial" w:hAnsi="Arial"/>
          <w:b w:val="1"/>
          <w:sz w:val="22"/>
          <w:szCs w:val="22"/>
          <w:vertAlign w:val="baseline"/>
          <w:rtl w:val="0"/>
        </w:rPr>
        <w:t xml:space="preserve">“una política permanente de solidaridad nacional”</w:t>
      </w:r>
      <w:r w:rsidDel="00000000" w:rsidR="00000000" w:rsidRPr="00000000">
        <w:rPr>
          <w:rFonts w:ascii="Arial" w:cs="Arial" w:eastAsia="Arial" w:hAnsi="Arial"/>
          <w:sz w:val="22"/>
          <w:szCs w:val="22"/>
          <w:vertAlign w:val="baseline"/>
          <w:rtl w:val="0"/>
        </w:rPr>
        <w:t xml:space="preserve"> y una particular  tutela a los derechos y beneficios de carácter irrenunciable</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Es también armónica  y complementaria con esta actitud de solidaridad nacional, la normativa y criterios internacionales que establecen que en todo lo referente   al  desarrollo  de  condiciones en materia  de seguridad social, laboral y cultural, se debe actuar progresivamente  y con el involucramiento máximo de los recursos disponibles  (  artículos 1, 11 y concordantes del Pacto Internacional de Derechos Económicos, Sociales y Culturales, artículo XVI de la Declaración Americana de los derechos y Deberes del Hombre y 26 de la Convención Americana sobre Derechos Humanos ).   Así:</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 ...   con arreglo a la Declaración Universal de los Derechos Humanos,  solo puede realizarse el ideal del ser humano libre, exento del temor y de la miseria, si se crean condiciones que permitan a cada persona gozar de sus derechos económicos, sociales y culturales tanto como de sus derechos civiles y políticos...”.  </w:t>
      </w:r>
      <w:r w:rsidDel="00000000" w:rsidR="00000000" w:rsidRPr="00000000">
        <w:rPr>
          <w:rFonts w:ascii="Arial" w:cs="Arial" w:eastAsia="Arial" w:hAnsi="Arial"/>
          <w:b w:val="1"/>
          <w:sz w:val="22"/>
          <w:szCs w:val="22"/>
          <w:vertAlign w:val="baseline"/>
          <w:rtl w:val="0"/>
        </w:rPr>
        <w:t xml:space="preserve">(“Preámbulo” de la Declaración Americana sobre Derechos Humanos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En un proceso histórico progresivo e incansable  de décadas, la Organización Internacional del Trabajo</w:t>
      </w:r>
      <w:r w:rsidDel="00000000" w:rsidR="00000000" w:rsidRPr="00000000">
        <w:rPr>
          <w:rFonts w:ascii="Arial" w:cs="Arial" w:eastAsia="Arial" w:hAnsi="Arial"/>
          <w:b w:val="0"/>
          <w:sz w:val="18"/>
          <w:szCs w:val="18"/>
          <w:vertAlign w:val="baseline"/>
          <w:rtl w:val="0"/>
        </w:rPr>
        <w:t xml:space="preserve"> -OIT-,  </w:t>
      </w:r>
      <w:r w:rsidDel="00000000" w:rsidR="00000000" w:rsidRPr="00000000">
        <w:rPr>
          <w:rFonts w:ascii="Arial" w:cs="Arial" w:eastAsia="Arial" w:hAnsi="Arial"/>
          <w:b w:val="1"/>
          <w:sz w:val="18"/>
          <w:szCs w:val="18"/>
          <w:vertAlign w:val="baseline"/>
          <w:rtl w:val="0"/>
        </w:rPr>
        <w:t xml:space="preserve">en materia de seguridad social ha generado también una serie de iniciativas que logra concretar en diversos pronunciamientos, recomendaciones y suscripción de convenios por parte de los Estados,  donde destaca entre otros el Convenio 102, Convenio relativo a la Norma Mínima de la Seguridad Social, el cual ha inspirado importantes fallos recientes de la Sala Constitucional en esta materia y la Recomendación 167,  “Recomendación sobre el establecimiento de un sistema internacional para la conservación de los derechos en materia de seguridad social”, que entre otros aspectos propicia hacer avanzar siempre en forma creciente y progresiva en este campo y con “conservación de los derechos en curso de adquisición  y de los derechos adquiridos”.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Es en este contexto que cabe analizar la situación de las personas integradas al importante ámbito del Magisterio Nacional en condición de docentes y administrativas, quienes han laborado o laboran en las instituciones del Ministerio de Educación Pública, las instituciones de educación superior estatal: la Universidad de Costa Rica, la Universidad Nacional, el Instituto Tecnológico de Costa Rica, la Universidad Estatal a Distancia y el Instituto Nacional de Aprendizaje y en su momento,  con la aprobación de la ley Número 7531en el año de 1995, fueron inducidas en virtud de diversas circunstancias a dejar el régimen del Magisterio para trasladarse al régimen de la Caja Costarricense de Seguro Social.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No obstante las corrientes de visión más integral y democrática, apuntan a la creación en los diversos países de regímenes de seguridad social únicos y con igualdad de trato y condiciones óptimas para las personas beneficiarias,  lo cierto es que ello a la fecha no acontece en Costa Rica en donde aún existen diversos regímenes y las personas que se trasladaron lo hicieron sin un óptimo nivel de información, sin una visión clara de la perspectiva que les esperaba y presionadas por una reforma legal que incrementó el monto de cotización del 7% al  14% promedio, afectando esta situación en forma directa sus ingresos salariales y solvencia socioeconómica y familiar.  Esta situación que afectó en forma crítica en un inicio aproximadamente a 12.000 personas –a la fecha se estiman en 16.000-, incide en el núcleo familiar de cada persona que se trasladó forzada por las circunstancias señaladas involucrando entonces a más de 60.000 personas.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Debe observarse en este punto que las personas que se trasladan,  en el contexto de una crisis socioeconómica que repercutió fuertemente en el año de 1995, pretendieron con ello proteger sus ingresos familiares,  muchas de estas  personas se encontraban y encuentran en condiciones de interinazgo y con jornadas laborales de apenas fracciones de tiempo completo.   Por lo señalado y entendiendo que tanto la legislación nacional como la internacional pretenden el carácter y efecto progresivo y creciente de los derechos y beneficios de la seguridad social,  estas personas directamente y a través de sus organizaciones requieren retornar al régimen del Magisterio  asumiendo los costos justos y razonables que ello implique y en el entendido de que tanto al legislar  como al emitir cualquier acto discrecional el individuo y los funcionarios y administraciones públicas se encuentran ética y jurídicamente sujetos a la justicia, lógica, conveniencia y  criterio técnico al igual que al interés público,  entendido este último como “ la expresión de los intereses individuales coincidentes de los administrados.”  ( véanse artículos 15, 16, 17, 160 y 113 de la Ley General de la Administración Pública ).    Coincidentemente,  todo acto legislativo  y administrativo debe ajustarse a los criterios de razonabilidad y proporcionalidad como inherentes al valor justicia, criterios  ya establecidos reiteradamente en la jurisprudencia constitucional costarricense.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Así,  una situación que afectó a una  población de personas que cotizaron para el régimen del Magisterio y  fueron afectadas en la forma señalada sin brindárseles la posibilidad de retornar al régimen de pensión y jubilación anterior, aportando justa y proporcionalmente para dicho objetivo,  es una situación injusta e inconveniente y susceptible de corregirse.   En efecto,  sin profundizar en los esfuerzos de organización y gestiones que se realizan por parte de las personas afectadas, las organizaciones laborales que las representan: Sindicato de Empleados de la Universidad de Costa Rica –SINDEU-, Sindicato de Empleados de la Universidad Nacional –SITUN-, Asociación de Funcionarios del Instituto Tecnológico de Costa Rica –AFITEC-, Unión de Empleados de la Universidad Estatal a Distancia –UNE-UNED-, en el Ministerio de Educación Pública el Sindicato Patriótico de la Educación 7 de Agosto –SINPAE 7 DE AGOSTO- y el Sindicato de Trabajadores del Instituto Nacional de Aprendizaje -SITRAINA-, debe señalarse que se han realizado múltiples esfuerzos para analizar y concientizar sobre la problemática que se enfrenta.   Igualmente algunos consejos universitarios de las instituciones que se han sensibilizado con la problemática que afecta a sus funcionarios y funcionarias, han tomado acuerdos conducentes a la búsqueda de solución de este problema.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Cabe destacar que los actos y deberes que las administraciones respectivas      ( Caja Costarricense de Seguro Social, Ministerio de Hacienda y otras ) asumieron con fundamento en la Ley No.  7531 no fueron satisfechos adecuadamente.  A manera de ejemplo,  debe indicarse que al trasladarse de régimen la respectiva persona, la ley estableció que en </w:t>
      </w:r>
      <w:r w:rsidDel="00000000" w:rsidR="00000000" w:rsidRPr="00000000">
        <w:rPr>
          <w:rFonts w:ascii="Arial" w:cs="Arial" w:eastAsia="Arial" w:hAnsi="Arial"/>
          <w:b w:val="0"/>
          <w:sz w:val="22"/>
          <w:szCs w:val="22"/>
          <w:u w:val="single"/>
          <w:vertAlign w:val="baseline"/>
          <w:rtl w:val="0"/>
        </w:rPr>
        <w:t xml:space="preserve">tres meses</w:t>
      </w:r>
      <w:r w:rsidDel="00000000" w:rsidR="00000000" w:rsidRPr="00000000">
        <w:rPr>
          <w:rFonts w:ascii="Arial" w:cs="Arial" w:eastAsia="Arial" w:hAnsi="Arial"/>
          <w:b w:val="0"/>
          <w:sz w:val="22"/>
          <w:szCs w:val="22"/>
          <w:vertAlign w:val="baseline"/>
          <w:rtl w:val="0"/>
        </w:rPr>
        <w:t xml:space="preserve"> se traspasarían la cuotas al régimen de la C.C.S.S. y se liquidaría la diferencia correspondiente a la persona beneficiaria con un título valor,  dicho mandato no se cumplió oportunamente y </w:t>
      </w:r>
      <w:r w:rsidDel="00000000" w:rsidR="00000000" w:rsidRPr="00000000">
        <w:rPr>
          <w:rFonts w:ascii="Arial" w:cs="Arial" w:eastAsia="Arial" w:hAnsi="Arial"/>
          <w:b w:val="0"/>
          <w:sz w:val="22"/>
          <w:szCs w:val="22"/>
          <w:u w:val="single"/>
          <w:vertAlign w:val="baseline"/>
          <w:rtl w:val="0"/>
        </w:rPr>
        <w:t xml:space="preserve">seis años</w:t>
      </w:r>
      <w:r w:rsidDel="00000000" w:rsidR="00000000" w:rsidRPr="00000000">
        <w:rPr>
          <w:rFonts w:ascii="Arial" w:cs="Arial" w:eastAsia="Arial" w:hAnsi="Arial"/>
          <w:b w:val="0"/>
          <w:sz w:val="22"/>
          <w:szCs w:val="22"/>
          <w:vertAlign w:val="baseline"/>
          <w:rtl w:val="0"/>
        </w:rPr>
        <w:t xml:space="preserve"> después se han emitido títulos con un plazo de vencimiento de quince años y sin ninguna compensación por la tardanza en la emisión,  como era de preveer las mismas operadoras comunican a las personas para que retiren dichos títulos y los respectivos cupones de intereses pues no les resulta rentable negociar o siquiera administrar por la vía del depósito en la cuenta individual de la persona trasladada debido, entre otros factores, a los costos que les acarrearía el pago de intereses por su capitalización.   Ante esta crítica  situación las personas que han buscado otra opción se han encontrado con la lamentable  y dolorosa perspectiva de que los puestos de bolsa ofrecen recibir estos títulos por el 60% de su valor,  situación denigrante y que afecta la propia autoestima de las personas en la medida en que ese ofrecimiento se les hace por un patrimonio que representa años de trabajo, cotización y esfuerzos en el régimen del Magisterio y a la fecha constituye una imagen del deterioro de su ámbito de seguridad social.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El retraso en la aportación de las cuotas al régimen de la C.C.S.S.  ha generado trastornos adicionales,  como el que los familiares de algunas personas fallecidas no hayan logrado resolver ninguna situación y por el contrario se les haya indicado que existe incerteza en cuanto a derechos pues los beneficiarios no aparecen como cotizantes.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Por innecesario,  no aludimos a la inestabilidad emocional, laboral  y familiar que enfrentan las personas que entienden que en virtud de las diversas circunstancias que concurrieron fueron inducidas a error y tratan de que el mismo sea enmendado encontrándose con el hecho de que en ninguna de las leyes aprobadas se les posibilita el  retorno al régimen en el que cotizaron y al que por razones de actividad pertenecen.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Otras razones, como el hecho de que con base en el Convenio 102 de la OIT, la Sala Constitucional y los tribunales de trabajo hayan tenido que declarar que las personas que al momento de su “traslado a la CCSS”, contaban con veinte años de permanencia en el Régimen de Pensiones y Jubilaciones del Magisterio Nacional según las normativas de las leyes 2248 y 7268  tienen derechos con base en dichas leyes,  muestra la necesidad de ajustes legislativos   orientados por el valor justicia y el criterio técnico para que cada ley ampare a su beneficiario o beneficiaria “natural”  y se corrija la situación de las personas que opten por el retorno.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Debe recordarse que con la Ley No. 7946 que reforma la Ley No. 7531, se hizo obligatoria la adscripción al Régimen de Capitalización administrado por la JUPEMA,  lo anterior por supuesto nos hace clamar para que se posibilite el retorno la población que por requisito de edad, de nacimiento y de fechas de ingreso a laborar pertenezca al Régimen de Capitalización.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Finalmente,  además de una serie de omisiones en el procedimiento de traslado, la tardanza o no realización de los estudios actuariales a cargo de la Administración señalados tanto en la Ley. No. 7531 como en la reglamentación emitida, sumado a la ausencia de notificaciones en los actos pertinentes a las personas trasladadas, definieron mayoritariamente a esta población a gestionar individualmente y a través de sus organizaciones el derecho de retorno al régimen del  Magisterio a través del texto de reforma, en este acto se presenta a consideración de las señoras diputadas y diputados, por los suscritos la propuesta de proyecto de ley anexo.</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PROYECTO DE LEY</w:t>
        <w:br w:type="textWrapping"/>
        <w:t xml:space="preserve"> REFORMA DE LOS ARTICULOS 4,5,6,31,32,34 DE LA LEY NÚMERO 7531 Y SUREFORMA 7946 DEL RÉGIMEN DE PENSIONES Y JUBILACIONES DEL MAGISTERIO NACIONAL.</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1. </w:t>
      </w:r>
      <w:r w:rsidDel="00000000" w:rsidR="00000000" w:rsidRPr="00000000">
        <w:rPr>
          <w:rFonts w:ascii="Arial" w:cs="Arial" w:eastAsia="Arial" w:hAnsi="Arial"/>
          <w:sz w:val="22"/>
          <w:szCs w:val="22"/>
          <w:vertAlign w:val="baseline"/>
          <w:rtl w:val="0"/>
        </w:rPr>
        <w:t xml:space="preserve">Refórmese el artículo cuarto Título I, Capítulo I, Sección</w:t>
        <w:br w:type="textWrapping"/>
        <w:t xml:space="preserve">I de la Ley No 7531, para que en adelante se lea 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4.    Derecho de Opción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"Los funcionarios que se trasladaron al régimen administrado por la Caja</w:t>
        <w:br w:type="textWrapping"/>
        <w:t xml:space="preserve">Costarricense de Seguro Social podrán decidir si permanecen en este o</w:t>
        <w:br w:type="textWrapping"/>
        <w:t xml:space="preserve">regresan al Régimen de Capitalización de la Junta de Pensiones y</w:t>
        <w:br w:type="textWrapping"/>
        <w:t xml:space="preserve">Jubilaciones del Magisterio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Si la opción del funcionario es retornar a su régimen de origen</w:t>
        <w:br w:type="textWrapping"/>
        <w:t xml:space="preserve">(Capitalización), la CCSS deberá trasladar al Fondo de dicho régimen las</w:t>
        <w:br w:type="textWrapping"/>
        <w:t xml:space="preserve">cuotas aportadas por el funcionario y el patrono.  Asimismo el Estado</w:t>
        <w:br w:type="textWrapping"/>
        <w:t xml:space="preserve">deberá trasladar la cuota que le corresponde como patrono, en caso de</w:t>
        <w:br w:type="textWrapping"/>
        <w:t xml:space="preserve">que no haya enterado lo pertinente a la CCSS, calculadas a valor</w:t>
        <w:br w:type="textWrapping"/>
        <w:t xml:space="preserve">presente.</w:t>
        <w:br w:type="textWrapping"/>
        <w:t xml:space="preserve"> </w:t>
        <w:br w:type="textWrapping"/>
        <w:t xml:space="preserve">La disposición anterior deberá ser satisfecha en el plazo de tres meses,</w:t>
        <w:br w:type="textWrapping"/>
        <w:t xml:space="preserve">contados a partir del momento en el que el funcionario remita la gestión</w:t>
        <w:br w:type="textWrapping"/>
        <w:t xml:space="preserve">de traslado al departamento de recursos humanos de la institución en la</w:t>
        <w:br w:type="textWrapping"/>
        <w:t xml:space="preserve">que labora.  Si el Estado o la CCSS incumplieran el plazo determinado,</w:t>
        <w:br w:type="textWrapping"/>
        <w:t xml:space="preserve">deberán pagar de más un cinco por ciento (5%) por concepto de intereses</w:t>
        <w:br w:type="textWrapping"/>
        <w:t xml:space="preserve">mensuales moratorios.</w:t>
        <w:br w:type="textWrapping"/>
        <w:t xml:space="preserve"> </w:t>
        <w:br w:type="textWrapping"/>
        <w:t xml:space="preserve">No obstante, si durante ese plazo acaeciera alguna situación que demande</w:t>
        <w:br w:type="textWrapping"/>
        <w:t xml:space="preserve">el otorgamiento de una pensión o jubilación, esa causa no será</w:t>
        <w:br w:type="textWrapping"/>
        <w:t xml:space="preserve">impedimento para otorgar el derecho respectivo.  El acumulado, producto</w:t>
        <w:br w:type="textWrapping"/>
        <w:t xml:space="preserve">de la diferencia tripartita dejada de aportar a los regímenes del</w:t>
        <w:br w:type="textWrapping"/>
        <w:t xml:space="preserve">Magisterio, mientras se estuvo en el Régimen de Pensiones de la CCSS,</w:t>
        <w:br w:type="textWrapping"/>
        <w:t xml:space="preserve">será cubierto por las tres partes distribuyéndola y sumándola al aporte</w:t>
        <w:br w:type="textWrapping"/>
        <w:t xml:space="preserve">corriente en el doble de tiempo del que se permaneció en la CCSS"</w:t>
        <w:br w:type="textWrapping"/>
        <w:t xml:space="preserve"> </w:t>
        <w:br w:type="textWrapp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800"/>
        </w:tabs>
        <w:contextualSpacing w:val="0"/>
        <w:jc w:val="both"/>
      </w:pPr>
      <w:r w:rsidDel="00000000" w:rsidR="00000000" w:rsidRPr="00000000">
        <w:rPr>
          <w:rFonts w:ascii="Arial" w:cs="Arial" w:eastAsia="Arial" w:hAnsi="Arial"/>
          <w:sz w:val="22"/>
          <w:szCs w:val="22"/>
          <w:vertAlign w:val="baseline"/>
          <w:rtl w:val="0"/>
        </w:rPr>
        <w:t xml:space="preserve"> </w:t>
        <w:br w:type="textWrapping"/>
      </w:r>
      <w:r w:rsidDel="00000000" w:rsidR="00000000" w:rsidRPr="00000000">
        <w:rPr>
          <w:rFonts w:ascii="Arial" w:cs="Arial" w:eastAsia="Arial" w:hAnsi="Arial"/>
          <w:b w:val="1"/>
          <w:sz w:val="22"/>
          <w:szCs w:val="22"/>
          <w:vertAlign w:val="baseline"/>
          <w:rtl w:val="0"/>
        </w:rPr>
        <w:t xml:space="preserve">ARTÍCULO 2. </w:t>
        <w:tab/>
      </w:r>
      <w:r w:rsidDel="00000000" w:rsidR="00000000" w:rsidRPr="00000000">
        <w:rPr>
          <w:rFonts w:ascii="Arial" w:cs="Arial" w:eastAsia="Arial" w:hAnsi="Arial"/>
          <w:sz w:val="22"/>
          <w:szCs w:val="22"/>
          <w:vertAlign w:val="baseline"/>
          <w:rtl w:val="0"/>
        </w:rPr>
        <w:t xml:space="preserve">Refórmese el artículo quinto Título I, Capítulo I, Sección</w:t>
        <w:br w:type="textWrapping"/>
        <w:t xml:space="preserve">I de la Ley No 7531, para que en adelante se lea sí:</w:t>
      </w:r>
      <w:r w:rsidDel="00000000" w:rsidR="00000000" w:rsidRPr="00000000">
        <w:rPr>
          <w:rtl w:val="0"/>
        </w:rPr>
      </w:r>
    </w:p>
    <w:p w:rsidR="00000000" w:rsidDel="00000000" w:rsidP="00000000" w:rsidRDefault="00000000" w:rsidRPr="00000000">
      <w:pPr>
        <w:tabs>
          <w:tab w:val="left" w:pos="1800"/>
        </w:tabs>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5.  Trámite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t xml:space="preserve">"El interesado deberá dirigir la solicitud de traslado al departamento</w:t>
        <w:br w:type="textWrapping"/>
        <w:t xml:space="preserve">de personal o de recursos humanos de la institución en la que presta</w:t>
        <w:br w:type="textWrapping"/>
        <w:t xml:space="preserve">servicio, el cual hará efectiva la exclusión a partir del primer día del</w:t>
        <w:br w:type="textWrapping"/>
        <w:t xml:space="preserve">mes siguiente al recibo de la solicitud, así como la inclusión en el</w:t>
        <w:br w:type="textWrapping"/>
        <w:t xml:space="preserve">régimen del Magisterio escogido.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Del acto de exclusión se enviará copia a la Junta de Pensiones y</w:t>
        <w:br w:type="textWrapping"/>
        <w:t xml:space="preserve">Jubilaciones del Magisterio Nacional, para que proceda a verificar la</w:t>
        <w:br w:type="textWrapping"/>
        <w:t xml:space="preserve">remisión oportuna de las diferencias correspondientes a los aportes del</w:t>
        <w:br w:type="textWrapping"/>
        <w:t xml:space="preserve">funcionario, del Estado y del patrono.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De irrespetarse la voluntad del trabajador, la Junta de Pensiones será</w:t>
        <w:br w:type="textWrapping"/>
        <w:t xml:space="preserve">la responsable de recurrir a los medios legales para recuperar los</w:t>
        <w:br w:type="textWrapping"/>
        <w:t xml:space="preserve">aportes, con el fin de que esas deudas no pongan en peligro la</w:t>
        <w:br w:type="textWrapping"/>
        <w:t xml:space="preserve">estabilidad económica del Régimen de capitalización", el Auditor</w:t>
        <w:br w:type="textWrapping"/>
        <w:t xml:space="preserve">expedirá certificación que tendrá carácter de título ejecutivo para</w:t>
        <w:br w:type="textWrapping"/>
        <w:t xml:space="preserve">recuperar sumariamente los aportes.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3. </w:t>
      </w:r>
      <w:r w:rsidDel="00000000" w:rsidR="00000000" w:rsidRPr="00000000">
        <w:rPr>
          <w:rFonts w:ascii="Arial" w:cs="Arial" w:eastAsia="Arial" w:hAnsi="Arial"/>
          <w:sz w:val="22"/>
          <w:szCs w:val="22"/>
          <w:vertAlign w:val="baseline"/>
          <w:rtl w:val="0"/>
        </w:rPr>
        <w:t xml:space="preserve">Refórmese el artículo sexto del Título I, Capítulo I,</w:t>
        <w:br w:type="textWrapping"/>
        <w:t xml:space="preserve">Sección I de la Ley No 7531, para que en adelante se lea 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6.        Plazos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"La Caja Costarricense de Seguro Social por medio de su Departamento</w:t>
        <w:br w:type="textWrapping"/>
        <w:t xml:space="preserve">Actuarial hará la respectiva liquidación actuarial.  Traspaso de los</w:t>
        <w:br w:type="textWrapping"/>
        <w:t xml:space="preserve">aportes acumulados en un fondo a la deberá realizar la liquidación</w:t>
        <w:br w:type="textWrapping"/>
        <w:t xml:space="preserve">actuarial y traspaso de los aportes acumulados en su fondo a la Junta de</w:t>
        <w:br w:type="textWrapping"/>
        <w:t xml:space="preserve">Pensiones y Jubilaciones del Magisterio Nacional, en el término</w:t>
        <w:br w:type="textWrapping"/>
        <w:t xml:space="preserve">improrrogable de tres meses contados a partir del recibo de la petición.</w:t>
        <w:br w:type="textWrapping"/>
        <w:t xml:space="preserve">En caso de que la administración no resuelva dentro de ese lapso, ese</w:t>
        <w:br w:type="textWrapping"/>
        <w:t xml:space="preserve">silencio se presumirá a favor de los derechos del petente.   En todo</w:t>
        <w:br w:type="textWrapping"/>
        <w:t xml:space="preserve">caso, la omisión constituye falta grave y deberá instruirse el proceso</w:t>
        <w:br w:type="textWrapping"/>
        <w:t xml:space="preserve">disciplinario contra el funcionario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No obstante, si durante ese plazo acaeciera alguna situación que demande</w:t>
        <w:br w:type="textWrapping"/>
        <w:t xml:space="preserve">la concesión de una pensión o jubilación, esta situación no será</w:t>
        <w:br w:type="textWrapping"/>
        <w:t xml:space="preserve">impedimento para otorgar el derecho respectivo.  Sin embargo tal</w:t>
        <w:br w:type="textWrapping"/>
        <w:t xml:space="preserve">situación no exime a la CCSS de su obligación de pago.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Cuando la Junta no reciba los aportes correspondientes,</w:t>
        <w:br w:type="textWrapping"/>
        <w:t xml:space="preserve">dentro del plazo estipulado en el párrafo anterior, la CCSS deberá pagar</w:t>
        <w:br w:type="textWrapping"/>
        <w:t xml:space="preserve">intereses moratorios del cinco por ciento (5%) mensual."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4.</w:t>
      </w:r>
      <w:r w:rsidDel="00000000" w:rsidR="00000000" w:rsidRPr="00000000">
        <w:rPr>
          <w:rFonts w:ascii="Arial" w:cs="Arial" w:eastAsia="Arial" w:hAnsi="Arial"/>
          <w:sz w:val="22"/>
          <w:szCs w:val="22"/>
          <w:vertAlign w:val="baseline"/>
          <w:rtl w:val="0"/>
        </w:rPr>
        <w:t xml:space="preserve"> Refórmese el artículo treinta y uno del Título III,</w:t>
        <w:br w:type="textWrapping"/>
        <w:t xml:space="preserve">Capítulo I, Sección I de la Ley No 7531, para que en adelante se lea 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 Artículo 31.  Derecho de opción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t xml:space="preserve">Los funcionarios que se trasladaron al régimen administrado por la Caja</w:t>
        <w:br w:type="textWrapping"/>
        <w:t xml:space="preserve">Costarricense de Seguridad Social podrán decidir si permanecen en este o</w:t>
        <w:br w:type="textWrapping"/>
        <w:t xml:space="preserve">regresan al Régimen de Reparto de Pensiones y Jubilaciones del</w:t>
        <w:br w:type="textWrapping"/>
        <w:t xml:space="preserve">Magisterio Nacional.  Si la decisión del funcionario es retornar a su</w:t>
        <w:br w:type="textWrapping"/>
        <w:t xml:space="preserve">régimen de origen (Reparto), la CCSS deberá trasladar al Fondo de ese</w:t>
        <w:br w:type="textWrapping"/>
        <w:t xml:space="preserve">Régimen las cuotas aportadas por el funcionario y el patrono, así como</w:t>
        <w:br w:type="textWrapping"/>
        <w:t xml:space="preserve">el Estado la que le corresponde como patrono en caso de que no haya</w:t>
        <w:br w:type="textWrapping"/>
        <w:t xml:space="preserve">enterado lo pertinente a la CCSS, calculadas a valor presente, para lo</w:t>
        <w:br w:type="textWrapping"/>
        <w:t xml:space="preserve">cual tendrán un plazo de tres meses, contados a partir del momento en</w:t>
        <w:br w:type="textWrapping"/>
        <w:t xml:space="preserve">que el funcionario remita la gestión de traslado al departamento de</w:t>
        <w:br w:type="textWrapping"/>
        <w:t xml:space="preserve">recursos humanos de la institución en la que labora.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t xml:space="preserve">Si el Estado o la CCSS incumplieran el plazo determinado, deberán pagar</w:t>
        <w:br w:type="textWrapping"/>
        <w:t xml:space="preserve">un cinco por ciento (5%) de más por concepto de intereses mensuales</w:t>
        <w:br w:type="textWrapping"/>
        <w:t xml:space="preserve">moratorios.  No obstante si durante ese plazo acaeciera alguna situación</w:t>
        <w:br w:type="textWrapping"/>
        <w:t xml:space="preserve">que demande el otorgamiento de una pensión o jubilación, esta no será</w:t>
        <w:br w:type="textWrapping"/>
        <w:t xml:space="preserve">impedimento para otorgar el derecho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El acumulado, producto de la diferencia tripartita dejada de aportar a</w:t>
        <w:br w:type="textWrapping"/>
        <w:t xml:space="preserve">los regímenes del magisterio, mientras se estuvo en el Régimen de</w:t>
        <w:br w:type="textWrapping"/>
        <w:t xml:space="preserve">Pensiones de la CCSS, será cubierto por las tres partes distribuyéndola</w:t>
        <w:br w:type="textWrapping"/>
        <w:t xml:space="preserve">y sumándola al aporte corriente en el doble de tiempo del que se</w:t>
        <w:br w:type="textWrapping"/>
        <w:t xml:space="preserve">permaneció en la CCSS".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r>
      <w:r w:rsidDel="00000000" w:rsidR="00000000" w:rsidRPr="00000000">
        <w:rPr>
          <w:rFonts w:ascii="Arial" w:cs="Arial" w:eastAsia="Arial" w:hAnsi="Arial"/>
          <w:b w:val="1"/>
          <w:sz w:val="22"/>
          <w:szCs w:val="22"/>
          <w:vertAlign w:val="baseline"/>
          <w:rtl w:val="0"/>
        </w:rPr>
        <w:t xml:space="preserve">Transitorio I. </w:t>
      </w:r>
      <w:r w:rsidDel="00000000" w:rsidR="00000000" w:rsidRPr="00000000">
        <w:rPr>
          <w:rFonts w:ascii="Arial" w:cs="Arial" w:eastAsia="Arial" w:hAnsi="Arial"/>
          <w:sz w:val="22"/>
          <w:szCs w:val="22"/>
          <w:vertAlign w:val="baseline"/>
          <w:rtl w:val="0"/>
        </w:rPr>
        <w:t xml:space="preserve">Los funcionarios que en alguna oportunidad</w:t>
        <w:br w:type="textWrapping"/>
        <w:t xml:space="preserve">laboraron para el Magisterio Nacional y ya no pertenezcan al régimen,</w:t>
        <w:br w:type="textWrapping"/>
        <w:t xml:space="preserve">podrán solicitar al Estado o a la Junta de Pensiones y Jubilaciones,</w:t>
        <w:br w:type="textWrapping"/>
        <w:t xml:space="preserve">según corresponda, la transferencia del acumulado producto de la</w:t>
        <w:br w:type="textWrapping"/>
        <w:t xml:space="preserve">cotización tripartita, calculado a valor presente, al régimen</w:t>
        <w:br w:type="textWrapping"/>
        <w:t xml:space="preserve">administrado por la Caja Costarricense de Seguro Social.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El Estado y la Junta de Pensiones tendrán que realizar el traslado de</w:t>
        <w:br w:type="textWrapping"/>
        <w:t xml:space="preserve">cuotas, de lo contrario pagarán un cinco por ciento (5%) de interés moratorio mensual para estos efectos La suma correspondiente se transferirá en un plazo máximo de tres meses después de publicada esta ley.  Las diferencias a favor del</w:t>
        <w:br w:type="textWrapping"/>
        <w:t xml:space="preserve">beneficiario se regularán conforme a lo establecido en el artículo 7,</w:t>
        <w:br w:type="textWrapping"/>
        <w:t xml:space="preserve">inciso b) último párrafo.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La gestión la dirigirá el interesado al Ministerio de Hacienda o a la</w:t>
        <w:br w:type="textWrapping"/>
        <w:t xml:space="preserve">Junta de Pensiones para la devolución respectiva.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El Ministerio de Hacienda o la Junta, según corresponda, determinarán el</w:t>
        <w:br w:type="textWrapping"/>
        <w:t xml:space="preserve">monto total de esa suma, el cual deberá ser convalidado por CCSS"</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5.</w:t>
      </w:r>
      <w:r w:rsidDel="00000000" w:rsidR="00000000" w:rsidRPr="00000000">
        <w:rPr>
          <w:rFonts w:ascii="Arial" w:cs="Arial" w:eastAsia="Arial" w:hAnsi="Arial"/>
          <w:b w:val="0"/>
          <w:sz w:val="22"/>
          <w:szCs w:val="22"/>
          <w:vertAlign w:val="baseline"/>
          <w:rtl w:val="0"/>
        </w:rPr>
        <w:t xml:space="preserve"> Refórmese el artículo treinta y dos del Título III,</w:t>
        <w:br w:type="textWrapping"/>
        <w:t xml:space="preserve">Capítulo I, Sección I de la Ley No 7531, para que en adelante se lea sí:</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32.        Trámite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El interesado deberá dirigir la solicitud de traspaso al departamento de</w:t>
        <w:br w:type="textWrapping"/>
        <w:t xml:space="preserve">personal o de recursos humanos de la institución en la que se encuentre</w:t>
        <w:br w:type="textWrapping"/>
        <w:t xml:space="preserve">laborando, En caso de que la administración no resuelva dentro de ese</w:t>
        <w:br w:type="textWrapping"/>
        <w:t xml:space="preserve">lapso, ese silencio se presumirá a favor de los derechos del petente.</w:t>
        <w:br w:type="textWrapping"/>
        <w:t xml:space="preserve">En todo caso, la omisión constituye falta grave y deberá instruirse el</w:t>
        <w:br w:type="textWrapping"/>
        <w:t xml:space="preserve">proceso disciplinario contra el funcionario respectivo.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Este departamento lo excluirá a partir del primer día del mes</w:t>
        <w:br w:type="textWrapping"/>
        <w:t xml:space="preserve">siguiente al recibo de la solicitud y lo incluirá en el Régimen de</w:t>
        <w:br w:type="textWrapping"/>
        <w:t xml:space="preserve">Pensiones y Jubilaciones del Magisterio Nacional.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Del acto de exclusión, se enviará copia a la Dirección Nacional de</w:t>
        <w:br w:type="textWrapping"/>
        <w:t xml:space="preserve">Pensiones del Ministerio de Trabajo y Seguridad Social, y a la Junta de</w:t>
        <w:br w:type="textWrapping"/>
        <w:t xml:space="preserve">Pensiones y Jubilaciones del Magisterio Nacional.  El Estado procederá a</w:t>
        <w:br w:type="textWrapping"/>
        <w:t xml:space="preserve">la liquidación actuarial respectiva para proceder al traspaso de cuotas</w:t>
        <w:br w:type="textWrapping"/>
        <w:t xml:space="preserve">del régimen de la Caja Costarricense de Seguro Social al Régimen de</w:t>
        <w:br w:type="textWrapping"/>
        <w:t xml:space="preserve">Reparto".</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6.</w:t>
      </w:r>
      <w:r w:rsidDel="00000000" w:rsidR="00000000" w:rsidRPr="00000000">
        <w:rPr>
          <w:rFonts w:ascii="Arial" w:cs="Arial" w:eastAsia="Arial" w:hAnsi="Arial"/>
          <w:b w:val="0"/>
          <w:sz w:val="22"/>
          <w:szCs w:val="22"/>
          <w:vertAlign w:val="baseline"/>
          <w:rtl w:val="0"/>
        </w:rPr>
        <w:t xml:space="preserve"> Refórmese el artículo treinta y tres del Título III,</w:t>
        <w:br w:type="textWrapping"/>
        <w:t xml:space="preserve">Capítulo I, Sección I de la Ley No 7531, para que en adelante se lea sí:</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br w:type="textWrapping"/>
      </w:r>
      <w:r w:rsidDel="00000000" w:rsidR="00000000" w:rsidRPr="00000000">
        <w:rPr>
          <w:rFonts w:ascii="Arial" w:cs="Arial" w:eastAsia="Arial" w:hAnsi="Arial"/>
          <w:b w:val="1"/>
          <w:sz w:val="22"/>
          <w:szCs w:val="22"/>
          <w:vertAlign w:val="baseline"/>
          <w:rtl w:val="0"/>
        </w:rPr>
        <w:t xml:space="preserve">"Artículo 33.    Plazos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La Caja Costarricense de Seguro Social deberá realizar la liquidación</w:t>
        <w:br w:type="textWrapping"/>
        <w:t xml:space="preserve">actuarial y el traspaso de los aportes al Estado dentro de los tres</w:t>
        <w:br w:type="textWrapping"/>
        <w:t xml:space="preserve">meses siguientes, contados a partir del recibo de la comunicación de</w:t>
        <w:br w:type="textWrapping"/>
        <w:t xml:space="preserve">traspaso.</w:t>
        <w:br w:type="textWrapping"/>
        <w:t xml:space="preserve">            </w:t>
        <w:br w:type="textWrapping"/>
        <w:t xml:space="preserve">Cuando el Estado no reciba los aportes correspondientes, dentro del</w:t>
        <w:br w:type="textWrapping"/>
        <w:t xml:space="preserve">plazo estipulado en el párrafo anterior, tendrá derecho a cobrar</w:t>
        <w:br w:type="textWrapping"/>
        <w:t xml:space="preserve">intereses moratorios del cinco por ciento (5%) mensual.</w:t>
        <w:br w:type="textWrapping"/>
        <w:t xml:space="preserve">            </w:t>
        <w:br w:type="textWrapping"/>
        <w:t xml:space="preserve">El acumulado, producto de la diferencia tripartita dejada de aportar al</w:t>
        <w:br w:type="textWrapping"/>
        <w:t xml:space="preserve">Régimen de reparto, mientras se estuvo en el Régimen de Pensiones de la</w:t>
        <w:br w:type="textWrapping"/>
        <w:t xml:space="preserve">CCSS, será cubierto por las tres partes distribuyéndola y sumándola al</w:t>
        <w:br w:type="textWrapping"/>
        <w:t xml:space="preserve">aporte corriente en el doble de tiempo del que se permaneció en la</w:t>
        <w:br w:type="textWrapping"/>
        <w:t xml:space="preserve">CCSS".</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7.</w:t>
      </w:r>
      <w:r w:rsidDel="00000000" w:rsidR="00000000" w:rsidRPr="00000000">
        <w:rPr>
          <w:rFonts w:ascii="Arial" w:cs="Arial" w:eastAsia="Arial" w:hAnsi="Arial"/>
          <w:b w:val="0"/>
          <w:sz w:val="22"/>
          <w:szCs w:val="22"/>
          <w:vertAlign w:val="baseline"/>
          <w:rtl w:val="0"/>
        </w:rPr>
        <w:t xml:space="preserve"> Refórmese el artículo treinta y cuatro del Título III,</w:t>
        <w:br w:type="textWrapping"/>
        <w:t xml:space="preserve">Capítulo I, Sección II de la Ley No 7531, para que en adelante se lea</w:t>
        <w:br w:type="textWrapping"/>
        <w:t xml:space="preserve">sí:</w:t>
        <w:br w:type="textWrapping"/>
        <w:br w:type="textWrapping"/>
      </w:r>
      <w:r w:rsidDel="00000000" w:rsidR="00000000" w:rsidRPr="00000000">
        <w:rPr>
          <w:rFonts w:ascii="Arial" w:cs="Arial" w:eastAsia="Arial" w:hAnsi="Arial"/>
          <w:b w:val="1"/>
          <w:sz w:val="22"/>
          <w:szCs w:val="22"/>
          <w:vertAlign w:val="baseline"/>
          <w:rtl w:val="0"/>
        </w:rPr>
        <w:t xml:space="preserve"> "Artículo 34.   Ámbito de cobertura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Quedan cubiertas por este régimen todas las personas que se desempeñen</w:t>
        <w:br w:type="textWrapping"/>
        <w:t xml:space="preserve">en el Magisterio Nacional en la educación pública estatal y en el</w:t>
        <w:br w:type="textWrapping"/>
        <w:t xml:space="preserve">Instituto Nacional de Aprendizaje, que cumplan con alguna de las</w:t>
        <w:br w:type="textWrapping"/>
        <w:t xml:space="preserve">siguientes condiciones: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Quienes hayan sido nombrados con anterioridad al 15 de julio de 1992</w:t>
        <w:br w:type="textWrapping"/>
        <w:t xml:space="preserve">y hayan nacido antes del primero de agosto de 1965.</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Los funcionarios que laboraron en alguna oportunidad en el Magisterio</w:t>
        <w:br w:type="textWrapping"/>
        <w:t xml:space="preserve">y estuvieron adscritos al Régimen de  reparto, cesaron sus labores por</w:t>
        <w:br w:type="textWrapping"/>
        <w:t xml:space="preserve">espacio de un año o más y regresaron a las actividades educativas</w:t>
        <w:br w:type="textWrapping"/>
        <w:t xml:space="preserve">contempladas en la ley después del 14 de julio de 1992.</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Quienes hayan sido nombrados con anterioridad al 15 de julio de 1992</w:t>
        <w:br w:type="textWrapping"/>
        <w:t xml:space="preserve">y hayan nacido con posterioridad al primero de agosto de 1965, podrán</w:t>
        <w:br w:type="textWrapping"/>
        <w:t xml:space="preserve">elegir sí continúan adscritos al Régimen de capitalización o se</w:t>
        <w:br w:type="textWrapping"/>
        <w:t xml:space="preserve">trasladan al de reparto, en cuyo caso deberán realizarse las</w:t>
        <w:br w:type="textWrapping"/>
        <w:t xml:space="preserve">transferencias de cotizaciones que correspondan de acuerdo con el último</w:t>
        <w:br w:type="textWrapping"/>
        <w:t xml:space="preserve">párrafo del inciso b), en caso de diferencias a favor del interesado, se</w:t>
        <w:br w:type="textWrapping"/>
        <w:t xml:space="preserve">regulará conforme al artículo 7, inciso b) último párrafo.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Los funcionarios cubiertos por el Régimen de Pensiones y Jubilaciones</w:t>
        <w:br w:type="textWrapping"/>
        <w:t xml:space="preserve">del Magisterio que, por ocupar cargos a tiempo completo en la dirigencia</w:t>
        <w:br w:type="textWrapping"/>
        <w:t xml:space="preserve">de organizaciones gremiales, corporativas y sindicales directamente</w:t>
        <w:br w:type="textWrapping"/>
        <w:t xml:space="preserve">vinculadas con el Magisterio Nacional, hayan disfrutado de licencia sin</w:t>
        <w:br w:type="textWrapping"/>
        <w:t xml:space="preserve">goce de salario en el ejercicio de esa representación, tendrán derecho a</w:t>
        <w:br w:type="textWrapping"/>
        <w:t xml:space="preserve">que el tiempo destinado a esa actividad se les reconozca como años de</w:t>
        <w:br w:type="textWrapping"/>
        <w:t xml:space="preserve">servicio únicamente para efectos de pensión.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 En ningún caso, ese tiempo podrá exceder de 92 cuotas efectivamente</w:t>
        <w:br w:type="textWrapping"/>
        <w:t xml:space="preserve">laboradas.  Al efecto de que ese tiempo resulte hábil para adquirir el</w:t>
        <w:br w:type="textWrapping"/>
        <w:t xml:space="preserve">derecho jubilatorio o de pensión, esas personas deberán haber cotizado</w:t>
        <w:br w:type="textWrapping"/>
        <w:t xml:space="preserve">sobre los salarios devengados mientras ostentaron la representación.</w:t>
        <w:br w:type="textWrapping"/>
        <w:t xml:space="preserve"> </w:t>
        <w:br w:type="textWrapping"/>
        <w:t xml:space="preserve">De no haberse enterado la cotización, esta podrá ser cancelada,</w:t>
        <w:br w:type="textWrapping"/>
        <w:t xml:space="preserve">cuantificando la deuda, tomando como base el salario del último puesto</w:t>
        <w:br w:type="textWrapping"/>
        <w:t xml:space="preserve">desempeñado por el interesado en las actividades educativas contempladas</w:t>
        <w:br w:type="textWrapping"/>
        <w:t xml:space="preserve">por la ley.</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 </w:t>
        <w:br w:type="textWrapping"/>
      </w:r>
      <w:r w:rsidDel="00000000" w:rsidR="00000000" w:rsidRPr="00000000">
        <w:rPr>
          <w:rFonts w:ascii="Arial" w:cs="Arial" w:eastAsia="Arial" w:hAnsi="Arial"/>
          <w:b w:val="1"/>
          <w:sz w:val="22"/>
          <w:szCs w:val="22"/>
          <w:vertAlign w:val="baseline"/>
          <w:rtl w:val="0"/>
        </w:rPr>
        <w:t xml:space="preserve">Transitorio II.-     Administración total del Régimen del Magisterio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"Los funcionarios adscritos al Régimen de reparto indicados en los</w:t>
        <w:br w:type="textWrapping"/>
        <w:t xml:space="preserve">puntos anteriores del artículo 34 que no sobrepasen los veinticinco años</w:t>
        <w:br w:type="textWrapping"/>
        <w:t xml:space="preserve">de servicio al Magisterio, seis meses después de publicada la presente</w:t>
        <w:br w:type="textWrapping"/>
        <w:t xml:space="preserve">ley, pasarán a formar parte del Régimen de Capitalización.  No obstante,</w:t>
        <w:br w:type="textWrapping"/>
        <w:t xml:space="preserve">la Junta de Pensiones deberá distinguir los funcionarios que pertenecen</w:t>
        <w:br w:type="textWrapping"/>
        <w:t xml:space="preserve">exclusivamente al Régimen de Capitalización según el artículo 7 y</w:t>
        <w:br w:type="textWrapping"/>
        <w:t xml:space="preserve">mantener las cuentas separadas de todas estas personas por la variación</w:t>
        <w:br w:type="textWrapping"/>
        <w:t xml:space="preserve">que implicaría en el perfil de beneficios de este sector de la</w:t>
        <w:br w:type="textWrapping"/>
        <w:t xml:space="preserve">educación.</w:t>
        <w:br w:type="textWrapping"/>
        <w:t xml:space="preserve">            </w:t>
        <w:br w:type="textWrapping"/>
        <w:t xml:space="preserve">Las cuotas obrero, patronal y estatal indicadas en el artículo 70 para</w:t>
        <w:br w:type="textWrapping"/>
        <w:t xml:space="preserve">los servidores activos que pasen a formar parte de Régimen de</w:t>
        <w:br w:type="textWrapping"/>
        <w:t xml:space="preserve">Capitalización, según las condiciones especificadas en el párrafo</w:t>
        <w:br w:type="textWrapping"/>
        <w:t xml:space="preserve">anterior, pasarán a formar parte del Fondo de Capitalización</w:t>
        <w:br w:type="textWrapping"/>
        <w:t xml:space="preserve">administrado por la Junta de Pensiones y Jubilaciones a partir del plazo</w:t>
        <w:br w:type="textWrapping"/>
        <w:t xml:space="preserve">definido en el párrafo anterior.</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En cuanto al perfil de beneficios el Estado siempre será el responsable</w:t>
        <w:br w:type="textWrapping"/>
        <w:t xml:space="preserve">de cubrir el gasto de las pensiones y jubilaciones otorgadas al amparo</w:t>
        <w:br w:type="textWrapping"/>
        <w:t xml:space="preserve">del Régimen de Reparto, mediante la ley vigente al momento del traslado</w:t>
        <w:br w:type="textWrapping"/>
        <w:t xml:space="preserve">a capitalización proporcionalmente a las cuotas que recaudó, de igual</w:t>
        <w:br w:type="textWrapping"/>
        <w:t xml:space="preserve">forma que se calcula el derecho por invalidez definido en el artículo 55</w:t>
        <w:br w:type="textWrapping"/>
        <w:t xml:space="preserve">de esta ley.  Los requisitos para pensionarse o jubilarse se regirán por</w:t>
        <w:br w:type="textWrapping"/>
        <w:t xml:space="preserve">la ley vigente al momento del traslado a Capitalización.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Por otra parte, la Junta de Pensiones será responsable del pago de la</w:t>
        <w:br w:type="textWrapping"/>
        <w:t xml:space="preserve">parte restante de la pensión o jubilación conforme a las cuotas</w:t>
        <w:br w:type="textWrapping"/>
        <w:t xml:space="preserve">enteradas al Fondo de Capitalización a partir del período definido en el</w:t>
        <w:br w:type="textWrapping"/>
        <w:t xml:space="preserve">párrafo primero de este transitorio.  La Junta de Pensiones otorgará</w:t>
        <w:br w:type="textWrapping"/>
        <w:t xml:space="preserve">esta proporción siempre y cuando haya recibido como mínimo sesenta</w:t>
        <w:br w:type="textWrapping"/>
        <w:t xml:space="preserve">cuotas.  Si el funcionario cumple los requisitos para jubilarse sin</w:t>
        <w:br w:type="textWrapping"/>
        <w:t xml:space="preserve">haber aportado las sesenta cuotas, el Estado será el responsable de</w:t>
        <w:br w:type="textWrapping"/>
        <w:t xml:space="preserve">cubrir la totalidad de la jubilación, no obstante la Junta debe en tal</w:t>
        <w:br w:type="textWrapping"/>
        <w:t xml:space="preserve">caso, traspasar al Estado las cuotas que hubiera recibido.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La Junta debe reglamentar el perfil de beneficios mediante la</w:t>
        <w:br w:type="textWrapping"/>
        <w:t xml:space="preserve">realización de los estudios actuariales, a fin de determinar la</w:t>
        <w:br w:type="textWrapping"/>
        <w:t xml:space="preserve">proporcionalidad de la cuantía de las prestaciones para los derechos</w:t>
        <w:br w:type="textWrapping"/>
        <w:t xml:space="preserve">otorgados con la modalidad de pago de la jubilación compartida por el</w:t>
        <w:br w:type="textWrapping"/>
        <w:t xml:space="preserve">Estado y la Junta".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3544"/>
      </w:tabs>
      <w:spacing w:before="708"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Fax 591-8452</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9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850" w:firstLine="567"/>
      </w:pPr>
      <w:rPr>
        <w:b w:val="1"/>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35"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