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left" w:pos="3686"/>
        </w:tabs>
        <w:spacing w:after="0" w:before="0" w:line="240" w:lineRule="auto"/>
        <w:ind w:right="51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COMUNICACIÓN DE ACUERDO</w:t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SCI-163-2002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19 de abril del 2002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978.0" w:type="dxa"/>
        <w:jc w:val="left"/>
        <w:tblInd w:w="-70.0" w:type="dxa"/>
        <w:tblLayout w:type="fixed"/>
        <w:tblLook w:val="0000"/>
      </w:tblPr>
      <w:tblGrid>
        <w:gridCol w:w="1346"/>
        <w:gridCol w:w="7632"/>
        <w:tblGridChange w:id="0">
          <w:tblGrid>
            <w:gridCol w:w="1346"/>
            <w:gridCol w:w="763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-93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RECTORIA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-93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Ing. Ronald Elizondo C., Director de la Oficina de Planificación Institucional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-93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Licda. Ana Isabel Solano B., MBA., Vicerrectora de Administración 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-93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MBA. José Miguel Solano S., Director del Departamento Financiero Contable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Licda. Josefa Guzmán León, Presidenta ai., del Consejo Institucional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ASUNTO: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Sesión No. 2226, Artículo 4, del 19 de abril del 2002.   Evaluación de Plan Anual Operativo (PAO) al 31 de diciembre del 2001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1134"/>
          <w:tab w:val="left" w:pos="1418"/>
        </w:tabs>
        <w:ind w:right="5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Para los fines consiguientes, le transcribo el acuerdo citado en la referencia.  Este acuerdo dice: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CONSIDERANDO QUE: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El proceso de planificación institucional debe contar con mecanismos que permitan evaluar los objetivos y metas propuestas.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El Consejo Institucional como órgano decisorio debe ser retroalimentado con información que le permita orientar el desarrollo institucional.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El Consejo Institucional recibió la Evaluación del Plan Anual Operativo al 31 de diciembre del 2001.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La Administración debe dedicar más esfuerzo para tener una evaluación al momento de ser presentada la Liquidación  de Presupuesto, con el fin de reorientar las acciones futuras.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La Comisión de Planificación y Administración analizó la Evaluación del Plan Anual Operativo al 31 de diciembre del 2001.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Se recibió dictamen de la Auditoría Interna (AUDI-109-2002), donde remite observaciones al documento “Evaluación del Plan Anual Operativo al 31 de diciembre del 2001”.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El Consejo de Rectoría en esta misma sesión hizo la presentación al Consejo Institucional, por programa, sobre logros, actividades relevantes y limitaciones para el desarrollo del Plan Anual Operativo durante el período 2001.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vertAlign w:val="baseline"/>
          <w:rtl w:val="0"/>
        </w:rPr>
        <w:t xml:space="preserve">COMUNICACIÓN DE ACUERDO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Sesión No. 2226, Artículo 4, del 19 de abril del 2002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4" w:hanging="284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Página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ACUERDA: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Dar por conocida la Evaluación del Plan Anual Operativo 2001.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Solicitar a la Administración, dedicar mayores esfuerzos para que la evaluación sea presentada conjuntamente con la ejecución presupuestaria, tal y como lo establece la Contraloría General de la República.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Solicitar a la Administración, tomar en cuenta las observaciones realizadas por la Auditoría Interna en oficio AUDI-109-2002, al documento Evaluación del Plan Anual Operativo al 31 de diciembre del 2001.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Comunicar.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ACUERDO FIRME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BSS/gfm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4750.0" w:type="dxa"/>
        <w:jc w:val="left"/>
        <w:tblInd w:w="-70.0" w:type="dxa"/>
        <w:tblLayout w:type="fixed"/>
        <w:tblLook w:val="0000"/>
      </w:tblPr>
      <w:tblGrid>
        <w:gridCol w:w="4750"/>
        <w:tblGridChange w:id="0">
          <w:tblGrid>
            <w:gridCol w:w="475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284" w:right="567" w:hanging="284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c.   Secretaría del Consejo Institucional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Auditoría Interna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Asesoría Legal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Vicerrectoría de Docencia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VIE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left="0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      VIESA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left="0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      Sede Regional San Carlos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Centro Académico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OPI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FEITEC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Unidad de Presupuesto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center"/>
      </w:pP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17" w:top="1417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1"/>
      <w:tabs>
        <w:tab w:val="left" w:pos="5954"/>
      </w:tabs>
      <w:spacing w:after="0" w:before="720" w:line="240" w:lineRule="auto"/>
      <w:ind w:right="-91"/>
      <w:contextualSpacing w:val="0"/>
      <w:jc w:val="right"/>
    </w:pP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vertAlign w:val="baseline"/>
        <w:rtl w:val="0"/>
      </w:rPr>
      <w:t xml:space="preserve">Instituto Tecnológico de Costa Rica</w:t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b w:val="1"/>
        <w:sz w:val="16"/>
        <w:szCs w:val="16"/>
        <w:vertAlign w:val="baseline"/>
        <w:rtl w:val="0"/>
      </w:rPr>
      <w:t xml:space="preserve">Secretaría Consejo Institucional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b w:val="1"/>
        <w:sz w:val="16"/>
        <w:szCs w:val="16"/>
        <w:vertAlign w:val="baseline"/>
        <w:rtl w:val="0"/>
      </w:rPr>
      <w:t xml:space="preserve">Ext. 2217-2239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419"/>
        <w:tab w:val="right" w:pos="8838"/>
      </w:tabs>
      <w:spacing w:after="0" w:before="0" w:line="240" w:lineRule="auto"/>
      <w:ind w:right="-374"/>
      <w:contextualSpacing w:val="0"/>
    </w:pPr>
    <w:r w:rsidDel="00000000" w:rsidR="00000000" w:rsidRPr="00000000">
      <w:drawing>
        <wp:inline distB="0" distT="0" distL="114300" distR="114300">
          <wp:extent cx="5745480" cy="153670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45480" cy="1536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419"/>
        <w:tab w:val="right" w:pos="8838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419"/>
        <w:tab w:val="right" w:pos="8838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850" w:firstLine="567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850" w:firstLine="567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