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SCI-177-2002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abril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Ricardo Aguilar D., Vicerrector de Investigación y Extensión</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MAE. Bernal Martínez G., Director Sede Regional de San Carlos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Arq. Jorge Sancho V., Director del Centro Académico de San José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Ruth Vílchez R., Directora del Departamento de Recursos Humanos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Dr. Gabriel Macaya T., Presidente del Consejo Nacional de Rectores (CONARE)</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20"/>
                <w:szCs w:val="20"/>
                <w:vertAlign w:val="baseline"/>
                <w:rtl w:val="0"/>
              </w:rPr>
              <w:t xml:space="preserve">Lic. José Andrés Masís B., Director de la Oficina de Planificación de la   Educación Superior (OPES)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20"/>
                <w:szCs w:val="20"/>
                <w:vertAlign w:val="baseline"/>
                <w:rtl w:val="0"/>
              </w:rPr>
              <w:t xml:space="preserve">Consejo Universitario de la Universidad de Costa Rica (UCR)</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20"/>
                <w:szCs w:val="20"/>
                <w:vertAlign w:val="baseline"/>
                <w:rtl w:val="0"/>
              </w:rPr>
              <w:t xml:space="preserve">Consejo Universitario de la Universidad Nacional (UNA)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20"/>
                <w:szCs w:val="20"/>
                <w:vertAlign w:val="baseline"/>
                <w:rtl w:val="0"/>
              </w:rPr>
              <w:t xml:space="preserve">Consejo Universitario de la Universidad Estatal a Distancia (UNED)</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2227, Artículo 4, del 26 de Abril del 2002.   Ratificación de acuerdo del Consejo Nacional de Rectores (CONARE) sobre  "Tabla Comparativa de Categorías Académicas de las Universidades Estatales"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En la Sesión No. 2218 del 22 de febrero del 2002, se recibió nota CNR-226-01, del señor José Andrés Masís Bermúdez, Director de la Oficina de Planificación de la Educación Superior, donde transcribe para la aplicación del acuerdo de reconocimiento salarial en el sector académico, la tabla comparativa de categorías, aprobada en la  Sesión No. 20-01, del 24 de julio del 2001.</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El Consejo Institucional delegó el estudio a la Comisión de Asuntos Académicos y Estudiantiles.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Comisión de Asuntos Académicos y Estudiantiles realizó el estudio respectivo.</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90" w:hanging="390"/>
        <w:jc w:val="both"/>
        <w:rPr/>
      </w:pPr>
      <w:r w:rsidDel="00000000" w:rsidR="00000000" w:rsidRPr="00000000">
        <w:rPr>
          <w:rFonts w:ascii="Arial" w:cs="Arial" w:eastAsia="Arial" w:hAnsi="Arial"/>
          <w:sz w:val="22"/>
          <w:szCs w:val="22"/>
          <w:vertAlign w:val="baseline"/>
          <w:rtl w:val="0"/>
        </w:rPr>
        <w:t xml:space="preserve">Ratificar el Acuerdo tomado por el Consejo Nacional de Rectores, en Sesión        No.20-01, del 24 de julio del 2001, respecto a la tabla comparativa de categorías, la cual se describe a continuación: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2227, Artículo 4, del 26 de abril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TABLA COMPARATIVA DE LAS CATEGORIAS ACADEMICAS DE LAS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UNIVERSIDADES ESTATALES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440"/>
        <w:gridCol w:w="2160"/>
        <w:gridCol w:w="1440"/>
        <w:gridCol w:w="1620"/>
        <w:tblGridChange w:id="0">
          <w:tblGrid>
            <w:gridCol w:w="1800"/>
            <w:gridCol w:w="1440"/>
            <w:gridCol w:w="2160"/>
            <w:gridCol w:w="1440"/>
            <w:gridCol w:w="162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UNIVERSIDAD/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CATEGORIA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UCR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ITCR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UNA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UNED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 Instructor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 Instructor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 Profesor Instructor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 Profesional 2</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 Adjunto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 Profesor Adjunto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 Profesor 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 Profesional 3</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3. Asociado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3. Profesor Asociado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3. Profesor II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3. Profesional 4</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4. Catedrático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4. Catedrático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4. Catedrático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4. Profesional 5</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90" w:hanging="390"/>
        <w:jc w:val="both"/>
        <w:rPr/>
      </w:pPr>
      <w:r w:rsidDel="00000000" w:rsidR="00000000" w:rsidRPr="00000000">
        <w:rPr>
          <w:rFonts w:ascii="Arial" w:cs="Arial" w:eastAsia="Arial" w:hAnsi="Arial"/>
          <w:sz w:val="22"/>
          <w:szCs w:val="22"/>
          <w:vertAlign w:val="baseline"/>
          <w:rtl w:val="0"/>
        </w:rPr>
        <w:t xml:space="preserve">Encomendar a la Administración los lineamientos de contratación por plazo definido respecto al inciso a) de este acuerdo.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90" w:hanging="390"/>
        <w:rPr/>
      </w:pPr>
      <w:r w:rsidDel="00000000" w:rsidR="00000000" w:rsidRPr="00000000">
        <w:rPr>
          <w:rFonts w:ascii="Arial" w:cs="Arial" w:eastAsia="Arial" w:hAnsi="Arial"/>
          <w:sz w:val="22"/>
          <w:szCs w:val="22"/>
          <w:vertAlign w:val="baseline"/>
          <w:rtl w:val="0"/>
        </w:rPr>
        <w:t xml:space="preserve">Aplicar este acuerdo de forma recíproca.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90" w:hanging="390"/>
        <w:rPr/>
      </w:pPr>
      <w:r w:rsidDel="00000000" w:rsidR="00000000" w:rsidRPr="00000000">
        <w:rPr>
          <w:rFonts w:ascii="Arial" w:cs="Arial" w:eastAsia="Arial" w:hAnsi="Arial"/>
          <w:sz w:val="22"/>
          <w:szCs w:val="22"/>
          <w:vertAlign w:val="baseline"/>
          <w:rtl w:val="0"/>
        </w:rPr>
        <w:t xml:space="preserve">Comunicar este acuerdo al Consejo Nacional de Rectores.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90" w:hanging="390"/>
        <w:rPr/>
      </w:pPr>
      <w:r w:rsidDel="00000000" w:rsidR="00000000" w:rsidRPr="00000000">
        <w:rPr>
          <w:rFonts w:ascii="Arial" w:cs="Arial" w:eastAsia="Arial" w:hAnsi="Arial"/>
          <w:sz w:val="22"/>
          <w:szCs w:val="22"/>
          <w:vertAlign w:val="baseline"/>
          <w:rtl w:val="0"/>
        </w:rPr>
        <w:t xml:space="preserve">Este acuerdo rige a partir del 1 de julio del 2002.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90" w:hanging="390"/>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3"/>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Estudios y Remuneraciones </w:t>
            </w:r>
            <w:r w:rsidDel="00000000" w:rsidR="00000000" w:rsidRPr="00000000">
              <w:rPr>
                <w:rtl w:val="0"/>
              </w:rPr>
            </w:r>
          </w:p>
        </w:tc>
      </w:tr>
    </w:tbl>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Fonts w:ascii="Arial" w:cs="Arial" w:eastAsia="Arial" w:hAnsi="Arial"/>
          <w:b w:val="1"/>
          <w:sz w:val="28"/>
          <w:szCs w:val="28"/>
          <w:vertAlign w:val="baseline"/>
          <w:rtl w:val="0"/>
        </w:rPr>
        <w:t xml:space="preserve"> </w:t>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20"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