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SCI-178-2002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abril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2227, Artículo 6, del 26 de abril del 2002.   Ejecución Presupuestaria al 31 de marzo del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Ejecución Presupuestaria a marzo del 2002.</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revisó la Ejecución y señala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jc w:val="both"/>
      </w:pPr>
      <w:r w:rsidDel="00000000" w:rsidR="00000000" w:rsidRPr="00000000">
        <w:rPr>
          <w:rFonts w:ascii="Arial" w:cs="Arial" w:eastAsia="Arial" w:hAnsi="Arial"/>
          <w:b w:val="1"/>
          <w:sz w:val="22"/>
          <w:szCs w:val="22"/>
          <w:vertAlign w:val="baseline"/>
          <w:rtl w:val="0"/>
        </w:rPr>
        <w:t xml:space="preserve">A nivel de ingresos</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2"/>
          <w:szCs w:val="22"/>
          <w:vertAlign w:val="baseline"/>
          <w:rtl w:val="0"/>
        </w:rPr>
        <w:t xml:space="preserve">La Partida de Recuperación de Préstamos disminuyó con respecto al comportamiento de marzo del 2001.  Es importante que el Consejo Institucional conozca de los esfuerzos que se están realizando para mejorar la recuperación de estos préstamos, en qué carreras se puede observar mayor problema de recuperación, cuáles pueden ser las justificaciones de esta disminución, etc.</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jc w:val="both"/>
      </w:pPr>
      <w:r w:rsidDel="00000000" w:rsidR="00000000" w:rsidRPr="00000000">
        <w:rPr>
          <w:rFonts w:ascii="Arial" w:cs="Arial" w:eastAsia="Arial" w:hAnsi="Arial"/>
          <w:b w:val="1"/>
          <w:sz w:val="22"/>
          <w:szCs w:val="22"/>
          <w:vertAlign w:val="baseline"/>
          <w:rtl w:val="0"/>
        </w:rPr>
        <w:t xml:space="preserve">A nivel de egresos</w:t>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de Servicios Personales presenta casi el mismo comportamiento que en Marzo del 2001.  Sin embargo, realizando un cálculo lineal la diferencia con respecto al presupuesto total de esta Partida, es superior al de marzo del 2001.  Es conveniente analizar esta Partida y mantener un seguimiento.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Tiempo Extraordinario, refleja un comportamiento mejor al de marzo del 2001.  Esto refleja un esfuerzo importante de la Administración, el cual debe ser valorado e informado.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de Otros Servicios No Personales le fue asignado un incremento de 151 527.5 colones más que el año 2001.  No obstante, el comportamiento de gasto con respecto a marzo del 2001, es el mismo.  Es importante revisar esta Partida con el fin de no tener recursos ociosos que puedan ser asignados a otras Partidas que requieren ser fortalecidos, tal como, becas a funcionarios/as.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2227, Artículo 6, del 26 de abril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de Préstamos a Estudiantes presenta nuevamente signos de preocupación.  A marzo del 2002 se han ejecutado sólo el 8.6%.  Esto es un aspecto de preocupación que debe obligarnos a realizar mayores esfuerzos con respecto al Índice Socioeconómico.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de Becas a Funcionarios y Funcionarias presenta una disminución muy significativa con respecto al 2002.  Es importante que esta Partida se revise y se fortalezca analizando el comportamiento de otras Partidas, como Otros Servicios No Personales.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 Partida de Fondos sin Asignación Presupuestaria continúa creciendo, principalmente, aquel fondo proveniente de las Unidades Productivas de San Carlos.  Es importante, revisar este Fondo y darle un destino dentro de la Sede Regional y no tenerlo sin utilización ya que viene desde hace años y en forma incremental.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dictamen de la Auditoría Interna (AUDI 104-2002 del 18 de abril) , donde se señalan observaciones a la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tabs>
          <w:tab w:val="left" w:pos="-900"/>
        </w:tabs>
        <w:ind w:left="426" w:hanging="426"/>
        <w:jc w:val="both"/>
        <w:rPr/>
      </w:pPr>
      <w:r w:rsidDel="00000000" w:rsidR="00000000" w:rsidRPr="00000000">
        <w:rPr>
          <w:rFonts w:ascii="Arial" w:cs="Arial" w:eastAsia="Arial" w:hAnsi="Arial"/>
          <w:sz w:val="22"/>
          <w:szCs w:val="22"/>
          <w:vertAlign w:val="baseline"/>
          <w:rtl w:val="0"/>
        </w:rPr>
        <w:t xml:space="preserve">Dar por conocida la Ejecución Presupuestaria al 31 de marzo del 2002.</w:t>
      </w:r>
      <w:r w:rsidDel="00000000" w:rsidR="00000000" w:rsidRPr="00000000">
        <w:rPr>
          <w:rtl w:val="0"/>
        </w:rPr>
      </w:r>
    </w:p>
    <w:p w:rsidR="00000000" w:rsidDel="00000000" w:rsidP="00000000" w:rsidRDefault="00000000" w:rsidRPr="00000000">
      <w:pPr>
        <w:tabs>
          <w:tab w:val="left" w:pos="-900"/>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900"/>
        </w:tabs>
        <w:ind w:left="426" w:hanging="426"/>
        <w:jc w:val="both"/>
        <w:rPr/>
      </w:pPr>
      <w:r w:rsidDel="00000000" w:rsidR="00000000" w:rsidRPr="00000000">
        <w:rPr>
          <w:rFonts w:ascii="Arial" w:cs="Arial" w:eastAsia="Arial" w:hAnsi="Arial"/>
          <w:sz w:val="22"/>
          <w:szCs w:val="22"/>
          <w:vertAlign w:val="baseline"/>
          <w:rtl w:val="0"/>
        </w:rPr>
        <w:t xml:space="preserve">Solicitar a la Administración atender las observaciones de la Comisión de Planificación y Administración y de la Auditoría Interna, presentando un Informe al Consejo Institucional en un plazo de 15 días.</w:t>
      </w:r>
      <w:r w:rsidDel="00000000" w:rsidR="00000000" w:rsidRPr="00000000">
        <w:rPr>
          <w:rtl w:val="0"/>
        </w:rPr>
      </w:r>
    </w:p>
    <w:p w:rsidR="00000000" w:rsidDel="00000000" w:rsidP="00000000" w:rsidRDefault="00000000" w:rsidRPr="00000000">
      <w:pPr>
        <w:tabs>
          <w:tab w:val="left" w:pos="-900"/>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900"/>
        </w:tabs>
        <w:ind w:left="426" w:hanging="426"/>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900"/>
        </w:tabs>
        <w:contextualSpacing w:val="0"/>
        <w:jc w:val="both"/>
      </w:pPr>
      <w:r w:rsidDel="00000000" w:rsidR="00000000" w:rsidRPr="00000000">
        <w:rPr>
          <w:rtl w:val="0"/>
        </w:rPr>
      </w:r>
    </w:p>
    <w:p w:rsidR="00000000" w:rsidDel="00000000" w:rsidP="00000000" w:rsidRDefault="00000000" w:rsidRPr="00000000">
      <w:pPr>
        <w:tabs>
          <w:tab w:val="left" w:pos="-900"/>
        </w:tabs>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w:t>
            </w:r>
            <w:r w:rsidDel="00000000" w:rsidR="00000000" w:rsidRPr="00000000">
              <w:rPr>
                <w:rtl w:val="0"/>
              </w:rPr>
            </w:r>
          </w:p>
        </w:tc>
      </w:tr>
    </w:tbl>
    <w:p w:rsidR="00000000" w:rsidDel="00000000" w:rsidP="00000000" w:rsidRDefault="00000000" w:rsidRPr="00000000">
      <w:pPr>
        <w:tabs>
          <w:tab w:val="left" w:pos="-900"/>
        </w:tabs>
        <w:contextualSpacing w:val="0"/>
        <w:jc w:val="both"/>
      </w:pPr>
      <w:r w:rsidDel="00000000" w:rsidR="00000000" w:rsidRPr="00000000">
        <w:rPr>
          <w:rtl w:val="0"/>
        </w:rPr>
      </w:r>
    </w:p>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 </w:t>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20"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723" w:firstLine="144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