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spacing w:after="0" w:before="0" w:line="240" w:lineRule="auto"/>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p>
    <w:p w:rsidR="00000000" w:rsidDel="00000000" w:rsidP="00000000" w:rsidRDefault="00000000" w:rsidRPr="00000000">
      <w:pPr>
        <w:tabs>
          <w:tab w:val="left" w:pos="3686"/>
        </w:tabs>
        <w:spacing w:after="0" w:before="0" w:line="240" w:lineRule="auto"/>
        <w:ind w:right="51"/>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SCI-232-2002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17 de mayo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Licda. Josefa Guzmán L., Vicerrectora de Docencia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B.Q. Grettel Castro Portuquez, Directora Escuela de Química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Lic. Fabio Hernández D., Coordinador del Centro de Desarrollo Académico</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51"/>
              <w:contextualSpacing w:val="0"/>
              <w:jc w:val="both"/>
            </w:pPr>
            <w:r w:rsidDel="00000000" w:rsidR="00000000" w:rsidRPr="00000000">
              <w:rPr>
                <w:rFonts w:ascii="Arial" w:cs="Arial" w:eastAsia="Arial" w:hAnsi="Arial"/>
                <w:b w:val="1"/>
                <w:sz w:val="20"/>
                <w:szCs w:val="20"/>
                <w:vertAlign w:val="baseline"/>
                <w:rtl w:val="0"/>
              </w:rPr>
              <w:t xml:space="preserve">Lic. Edgar López R., Director del Departamento de Admisión y Registro</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MSc. José Andrés Masís, Director de la Oficina de Planificación de la Educación Superior (OPES)</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2232, Artículo 5, del 17 de mayo del 2002.   Creación de la Carrera de Ingeniería Ambiental </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El Consejo Institucional, recibió acuerdo del Consejo de Docencia de Sesión             No. 14-2001, del 3 de octubre del 2001, donde acordó: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720"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Proponer al Consejo Institucional la creación de una nueva opción académica:  Licenciatura en Ingeniería Ambiental, adscrita a la Escuela de Química.</w:t>
      </w: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tl w:val="0"/>
        </w:rPr>
      </w:r>
    </w:p>
    <w:p w:rsidR="00000000" w:rsidDel="00000000" w:rsidP="00000000" w:rsidRDefault="00000000" w:rsidRPr="00000000">
      <w:pPr>
        <w:numPr>
          <w:ilvl w:val="0"/>
          <w:numId w:val="3"/>
        </w:numPr>
        <w:ind w:left="720"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Instar al Consejo Institucional la aprobación de esta nueva opción académica para la Institución.</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La Comisión de Asuntos Académicos y Estudiantiles del Consejo Institucional, se reunió con funcionarias de la Escuela de Química para obtener mayor información y evacuar dudas.</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Se recibió documento EB-151-2002, de la Escuela de Biología, con fecha 3 de abril del 2002, donde presentan la posición de esta Escuela ante la Creación de la Carrera de Ingeniería Ambiental que dice:</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sz w:val="20"/>
          <w:szCs w:val="20"/>
          <w:vertAlign w:val="baseline"/>
          <w:rtl w:val="0"/>
        </w:rPr>
        <w:t xml:space="preserve">ACUERDAN SOLICITAR AL CONSEJO INSTITUCIONAL:</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1"/>
          <w:sz w:val="20"/>
          <w:szCs w:val="20"/>
          <w:vertAlign w:val="baseline"/>
          <w:rtl w:val="0"/>
        </w:rPr>
        <w:t xml:space="preserve">"Participar de una solución que reúna los esfuerzos loables de los compañeros de la Escuela de Química y de la Escuela de Biología, con el que se dé continuidad a la Carrera de Ingeniería en Biotecnología, permitiendo la creación de una maestría conjunta y evitar la creación de espacios en donde se estimularía la competencia entre dos planes de estudio de una misma universidad."</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2232, Artículo 5, del 17 de mayo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El Consejo Institucional en Sesión No. 2225, Artículo 4, del 9 de abril del 2002, acordó:</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1"/>
          <w:sz w:val="20"/>
          <w:szCs w:val="20"/>
          <w:vertAlign w:val="baseline"/>
          <w:rtl w:val="0"/>
        </w:rPr>
        <w:t xml:space="preserve">“Solicitar al Consejo de Docencia un pronunciamiento con respecto al documento presentado por la Escuela de Biología, referente a la creación de la Carrera de Ingeniería Ambiental”.</w:t>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Se recibió memorando ViDa-388-2002, de la Licda. Josefa Guzmán, Vicerrectora de Docencia, dirigido al Ing. Alejandro Cruz, Presidente del Consejo Institucional, con fecha 15 de mayo del 2002, donde comunica que el Consejo de Docencia en Sesión 06-2002, del 17 de abril del 2002, conoció el acuerdo del Consejo Institucional, de la Sesión No. 2225, Artículo 4 del 9 de abril del 2002 y la estrategia de trabajo de la Vicerrectora de Docencia y de las Directoras de las Escuelas de Biología, Química, para lo cual, en Sesión 09-02, del 15 de mayo del presente año acordó: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jc w:val="both"/>
        <w:rPr>
          <w:b w:val="0"/>
          <w:sz w:val="22"/>
          <w:szCs w:val="22"/>
        </w:rPr>
      </w:pPr>
      <w:r w:rsidDel="00000000" w:rsidR="00000000" w:rsidRPr="00000000">
        <w:rPr>
          <w:rFonts w:ascii="Arial" w:cs="Arial" w:eastAsia="Arial" w:hAnsi="Arial"/>
          <w:sz w:val="22"/>
          <w:szCs w:val="22"/>
          <w:vertAlign w:val="baseline"/>
          <w:rtl w:val="0"/>
        </w:rPr>
        <w:t xml:space="preserve">“Declarar que el campo de acción del profesional en Ingeniería Ambiental, no compite ni excluye el campo de acción de los profesionales de Ingeniería en Biotecnología.</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jc w:val="both"/>
        <w:rPr>
          <w:b w:val="0"/>
          <w:sz w:val="22"/>
          <w:szCs w:val="22"/>
        </w:rPr>
      </w:pPr>
      <w:r w:rsidDel="00000000" w:rsidR="00000000" w:rsidRPr="00000000">
        <w:rPr>
          <w:rFonts w:ascii="Arial" w:cs="Arial" w:eastAsia="Arial" w:hAnsi="Arial"/>
          <w:sz w:val="22"/>
          <w:szCs w:val="22"/>
          <w:vertAlign w:val="baseline"/>
          <w:rtl w:val="0"/>
        </w:rPr>
        <w:t xml:space="preserve">Ratificar el acuerdo del Consejo de Docencia en el cual se aprobó la Creación de la Carrera de Ingeniería Ambiental.</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jc w:val="both"/>
        <w:rPr>
          <w:b w:val="0"/>
          <w:sz w:val="22"/>
          <w:szCs w:val="22"/>
        </w:rPr>
      </w:pPr>
      <w:r w:rsidDel="00000000" w:rsidR="00000000" w:rsidRPr="00000000">
        <w:rPr>
          <w:rFonts w:ascii="Arial" w:cs="Arial" w:eastAsia="Arial" w:hAnsi="Arial"/>
          <w:sz w:val="22"/>
          <w:szCs w:val="22"/>
          <w:vertAlign w:val="baseline"/>
          <w:rtl w:val="0"/>
        </w:rPr>
        <w:t xml:space="preserve">Solicitar al Consejo Institucional continuar a la mayor brevedad con el proceso de aprobación de la creación de la Carrera de Ingeniería Ambiental”.</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Aprobar la Creación de la Carrera de Ingeniería Ambiental, adscrita a la Escuela de Química, para su trámite ante el Consejo Nacional de Rectores, según el plan de estudios adjunto.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Instar a la Administración la búsqueda de nuevos recursos que permitan la apertura de esta Carrera.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Condicionar la apertura de ésta y futuras opciones académicas a la consecución de los recursos financieros que se requieran para el funcionamiento.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BSS/gfm</w:t>
      </w:r>
      <w:r w:rsidDel="00000000" w:rsidR="00000000" w:rsidRPr="00000000">
        <w:rPr>
          <w:rtl w:val="0"/>
        </w:rPr>
      </w:r>
    </w:p>
    <w:tbl>
      <w:tblPr>
        <w:tblStyle w:val="Table2"/>
        <w:bidi w:val="0"/>
        <w:tblW w:w="9500.0" w:type="dxa"/>
        <w:jc w:val="left"/>
        <w:tblInd w:w="-70.0" w:type="dxa"/>
        <w:tblLayout w:type="fixed"/>
        <w:tblLook w:val="0000"/>
      </w:tblPr>
      <w:tblGrid>
        <w:gridCol w:w="4750"/>
        <w:gridCol w:w="4750"/>
        <w:tblGridChange w:id="0">
          <w:tblGrid>
            <w:gridCol w:w="4750"/>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c>
          <w:tcPr/>
          <w:p w:rsidR="00000000" w:rsidDel="00000000" w:rsidP="00000000" w:rsidRDefault="00000000" w:rsidRPr="00000000">
            <w:pPr>
              <w:keepNext w:val="1"/>
              <w:spacing w:after="0" w:before="0" w:line="240" w:lineRule="auto"/>
              <w:ind w:left="0" w:firstLine="0"/>
              <w:contextualSpacing w:val="0"/>
              <w:jc w:val="both"/>
            </w:pPr>
            <w:r w:rsidDel="00000000" w:rsidR="00000000" w:rsidRPr="00000000">
              <w:rPr>
                <w:rFonts w:ascii="Arial" w:cs="Arial" w:eastAsia="Arial" w:hAnsi="Arial"/>
                <w:b w:val="1"/>
                <w:sz w:val="18"/>
                <w:szCs w:val="18"/>
                <w:vertAlign w:val="baseline"/>
                <w:rtl w:val="0"/>
              </w:rPr>
              <w:t xml:space="preserve">      Sede Regional San Carlos</w:t>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Oficina de Prensa (publicar)</w:t>
            </w:r>
            <w:r w:rsidDel="00000000" w:rsidR="00000000" w:rsidRPr="00000000">
              <w:rPr>
                <w:rtl w:val="0"/>
              </w:rPr>
            </w:r>
          </w:p>
        </w:tc>
      </w:tr>
      <w:tr>
        <w:tc>
          <w:tcPr>
            <w:gridSpan w:val="2"/>
          </w:tcPr>
          <w:p w:rsidR="00000000" w:rsidDel="00000000" w:rsidP="00000000" w:rsidRDefault="00000000" w:rsidRPr="00000000">
            <w:pPr>
              <w:keepNext w:val="1"/>
              <w:spacing w:after="0" w:before="0" w:line="240" w:lineRule="auto"/>
              <w:ind w:left="0" w:firstLine="0"/>
              <w:contextualSpacing w:val="0"/>
              <w:jc w:val="both"/>
            </w:pPr>
            <w:r w:rsidDel="00000000" w:rsidR="00000000" w:rsidRPr="00000000">
              <w:rPr>
                <w:rFonts w:ascii="Arial" w:cs="Arial" w:eastAsia="Arial" w:hAnsi="Arial"/>
                <w:b w:val="1"/>
                <w:sz w:val="18"/>
                <w:szCs w:val="18"/>
                <w:vertAlign w:val="baseline"/>
                <w:rtl w:val="0"/>
              </w:rPr>
              <w:t xml:space="preserve">      VIESA</w:t>
            </w:r>
          </w:p>
        </w:tc>
      </w:tr>
    </w:tbl>
    <w:p w:rsidR="00000000" w:rsidDel="00000000" w:rsidP="00000000" w:rsidRDefault="00000000" w:rsidRPr="00000000">
      <w:pPr>
        <w:tabs>
          <w:tab w:val="left" w:pos="3686"/>
        </w:tabs>
        <w:spacing w:after="0" w:before="0" w:line="240" w:lineRule="auto"/>
        <w:ind w:right="51"/>
        <w:contextualSpacing w:val="0"/>
        <w:jc w:val="center"/>
      </w:pPr>
      <w:r w:rsidDel="00000000" w:rsidR="00000000" w:rsidRPr="00000000">
        <w:rPr>
          <w:rFonts w:ascii="Arial" w:cs="Arial" w:eastAsia="Arial" w:hAnsi="Arial"/>
          <w:b w:val="1"/>
          <w:sz w:val="28"/>
          <w:szCs w:val="28"/>
          <w:vertAlign w:val="baseline"/>
          <w:rtl w:val="0"/>
        </w:rPr>
        <w:t xml:space="preserve"> </w:t>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tabs>
        <w:tab w:val="left" w:pos="5954"/>
      </w:tabs>
      <w:spacing w:after="0" w:before="708" w:line="240" w:lineRule="auto"/>
      <w:ind w:right="-91"/>
      <w:contextualSpacing w:val="0"/>
      <w:jc w:val="right"/>
    </w:pPr>
    <w:r w:rsidDel="00000000" w:rsidR="00000000" w:rsidRPr="00000000">
      <w:rPr>
        <w:rFonts w:ascii="Times New Roman" w:cs="Times New Roman" w:eastAsia="Times New Roman" w:hAnsi="Times New Roman"/>
        <w:b w:val="1"/>
        <w:sz w:val="16"/>
        <w:szCs w:val="16"/>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850" w:firstLine="567"/>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1571" w:firstLine="1211"/>
      </w:pPr>
      <w:rPr>
        <w:rFonts w:ascii="Arial" w:cs="Arial" w:eastAsia="Arial" w:hAnsi="Arial"/>
        <w:vertAlign w:val="baseline"/>
      </w:rPr>
    </w:lvl>
    <w:lvl w:ilvl="1">
      <w:start w:val="1"/>
      <w:numFmt w:val="bullet"/>
      <w:lvlText w:val="o"/>
      <w:lvlJc w:val="left"/>
      <w:pPr>
        <w:ind w:left="2291" w:firstLine="1931"/>
      </w:pPr>
      <w:rPr>
        <w:rFonts w:ascii="Arial" w:cs="Arial" w:eastAsia="Arial" w:hAnsi="Arial"/>
        <w:vertAlign w:val="baseline"/>
      </w:rPr>
    </w:lvl>
    <w:lvl w:ilvl="2">
      <w:start w:val="1"/>
      <w:numFmt w:val="bullet"/>
      <w:lvlText w:val="▪"/>
      <w:lvlJc w:val="left"/>
      <w:pPr>
        <w:ind w:left="3011" w:firstLine="2651"/>
      </w:pPr>
      <w:rPr>
        <w:rFonts w:ascii="Arial" w:cs="Arial" w:eastAsia="Arial" w:hAnsi="Arial"/>
        <w:vertAlign w:val="baseline"/>
      </w:rPr>
    </w:lvl>
    <w:lvl w:ilvl="3">
      <w:start w:val="1"/>
      <w:numFmt w:val="bullet"/>
      <w:lvlText w:val="●"/>
      <w:lvlJc w:val="left"/>
      <w:pPr>
        <w:ind w:left="3731" w:firstLine="3371"/>
      </w:pPr>
      <w:rPr>
        <w:rFonts w:ascii="Arial" w:cs="Arial" w:eastAsia="Arial" w:hAnsi="Arial"/>
        <w:vertAlign w:val="baseline"/>
      </w:rPr>
    </w:lvl>
    <w:lvl w:ilvl="4">
      <w:start w:val="1"/>
      <w:numFmt w:val="bullet"/>
      <w:lvlText w:val="o"/>
      <w:lvlJc w:val="left"/>
      <w:pPr>
        <w:ind w:left="4451" w:firstLine="4091"/>
      </w:pPr>
      <w:rPr>
        <w:rFonts w:ascii="Arial" w:cs="Arial" w:eastAsia="Arial" w:hAnsi="Arial"/>
        <w:vertAlign w:val="baseline"/>
      </w:rPr>
    </w:lvl>
    <w:lvl w:ilvl="5">
      <w:start w:val="1"/>
      <w:numFmt w:val="bullet"/>
      <w:lvlText w:val="▪"/>
      <w:lvlJc w:val="left"/>
      <w:pPr>
        <w:ind w:left="5171" w:firstLine="4811"/>
      </w:pPr>
      <w:rPr>
        <w:rFonts w:ascii="Arial" w:cs="Arial" w:eastAsia="Arial" w:hAnsi="Arial"/>
        <w:vertAlign w:val="baseline"/>
      </w:rPr>
    </w:lvl>
    <w:lvl w:ilvl="6">
      <w:start w:val="1"/>
      <w:numFmt w:val="bullet"/>
      <w:lvlText w:val="●"/>
      <w:lvlJc w:val="left"/>
      <w:pPr>
        <w:ind w:left="5891" w:firstLine="5531"/>
      </w:pPr>
      <w:rPr>
        <w:rFonts w:ascii="Arial" w:cs="Arial" w:eastAsia="Arial" w:hAnsi="Arial"/>
        <w:vertAlign w:val="baseline"/>
      </w:rPr>
    </w:lvl>
    <w:lvl w:ilvl="7">
      <w:start w:val="1"/>
      <w:numFmt w:val="bullet"/>
      <w:lvlText w:val="o"/>
      <w:lvlJc w:val="left"/>
      <w:pPr>
        <w:ind w:left="6611" w:firstLine="6251"/>
      </w:pPr>
      <w:rPr>
        <w:rFonts w:ascii="Arial" w:cs="Arial" w:eastAsia="Arial" w:hAnsi="Arial"/>
        <w:vertAlign w:val="baseline"/>
      </w:rPr>
    </w:lvl>
    <w:lvl w:ilvl="8">
      <w:start w:val="1"/>
      <w:numFmt w:val="bullet"/>
      <w:lvlText w:val="▪"/>
      <w:lvlJc w:val="left"/>
      <w:pPr>
        <w:ind w:left="7331" w:firstLine="6971"/>
      </w:pPr>
      <w:rPr>
        <w:rFonts w:ascii="Arial" w:cs="Arial" w:eastAsia="Arial" w:hAnsi="Arial"/>
        <w:vertAlign w:val="baseline"/>
      </w:rPr>
    </w:lvl>
  </w:abstractNum>
  <w:abstractNum w:abstractNumId="4">
    <w:lvl w:ilvl="0">
      <w:start w:val="1"/>
      <w:numFmt w:val="bullet"/>
      <w:lvlText w:val="●"/>
      <w:lvlJc w:val="left"/>
      <w:pPr>
        <w:ind w:left="1428" w:firstLine="1068"/>
      </w:pPr>
      <w:rPr>
        <w:rFonts w:ascii="Arial" w:cs="Arial" w:eastAsia="Arial" w:hAnsi="Arial"/>
        <w:vertAlign w:val="baseline"/>
      </w:rPr>
    </w:lvl>
    <w:lvl w:ilvl="1">
      <w:start w:val="1"/>
      <w:numFmt w:val="bullet"/>
      <w:lvlText w:val="o"/>
      <w:lvlJc w:val="left"/>
      <w:pPr>
        <w:ind w:left="2148" w:firstLine="1788"/>
      </w:pPr>
      <w:rPr>
        <w:rFonts w:ascii="Arial" w:cs="Arial" w:eastAsia="Arial" w:hAnsi="Arial"/>
        <w:vertAlign w:val="baseline"/>
      </w:rPr>
    </w:lvl>
    <w:lvl w:ilvl="2">
      <w:start w:val="1"/>
      <w:numFmt w:val="bullet"/>
      <w:lvlText w:val="▪"/>
      <w:lvlJc w:val="left"/>
      <w:pPr>
        <w:ind w:left="2868" w:firstLine="2508"/>
      </w:pPr>
      <w:rPr>
        <w:rFonts w:ascii="Arial" w:cs="Arial" w:eastAsia="Arial" w:hAnsi="Arial"/>
        <w:vertAlign w:val="baseline"/>
      </w:rPr>
    </w:lvl>
    <w:lvl w:ilvl="3">
      <w:start w:val="1"/>
      <w:numFmt w:val="bullet"/>
      <w:lvlText w:val="●"/>
      <w:lvlJc w:val="left"/>
      <w:pPr>
        <w:ind w:left="3588" w:firstLine="3228"/>
      </w:pPr>
      <w:rPr>
        <w:rFonts w:ascii="Arial" w:cs="Arial" w:eastAsia="Arial" w:hAnsi="Arial"/>
        <w:vertAlign w:val="baseline"/>
      </w:rPr>
    </w:lvl>
    <w:lvl w:ilvl="4">
      <w:start w:val="1"/>
      <w:numFmt w:val="bullet"/>
      <w:lvlText w:val="o"/>
      <w:lvlJc w:val="left"/>
      <w:pPr>
        <w:ind w:left="4308" w:firstLine="3948"/>
      </w:pPr>
      <w:rPr>
        <w:rFonts w:ascii="Arial" w:cs="Arial" w:eastAsia="Arial" w:hAnsi="Arial"/>
        <w:vertAlign w:val="baseline"/>
      </w:rPr>
    </w:lvl>
    <w:lvl w:ilvl="5">
      <w:start w:val="1"/>
      <w:numFmt w:val="bullet"/>
      <w:lvlText w:val="▪"/>
      <w:lvlJc w:val="left"/>
      <w:pPr>
        <w:ind w:left="5028" w:firstLine="4668"/>
      </w:pPr>
      <w:rPr>
        <w:rFonts w:ascii="Arial" w:cs="Arial" w:eastAsia="Arial" w:hAnsi="Arial"/>
        <w:vertAlign w:val="baseline"/>
      </w:rPr>
    </w:lvl>
    <w:lvl w:ilvl="6">
      <w:start w:val="1"/>
      <w:numFmt w:val="bullet"/>
      <w:lvlText w:val="●"/>
      <w:lvlJc w:val="left"/>
      <w:pPr>
        <w:ind w:left="5748" w:firstLine="5388"/>
      </w:pPr>
      <w:rPr>
        <w:rFonts w:ascii="Arial" w:cs="Arial" w:eastAsia="Arial" w:hAnsi="Arial"/>
        <w:vertAlign w:val="baseline"/>
      </w:rPr>
    </w:lvl>
    <w:lvl w:ilvl="7">
      <w:start w:val="1"/>
      <w:numFmt w:val="bullet"/>
      <w:lvlText w:val="o"/>
      <w:lvlJc w:val="left"/>
      <w:pPr>
        <w:ind w:left="6468" w:firstLine="6108"/>
      </w:pPr>
      <w:rPr>
        <w:rFonts w:ascii="Arial" w:cs="Arial" w:eastAsia="Arial" w:hAnsi="Arial"/>
        <w:vertAlign w:val="baseline"/>
      </w:rPr>
    </w:lvl>
    <w:lvl w:ilvl="8">
      <w:start w:val="1"/>
      <w:numFmt w:val="bullet"/>
      <w:lvlText w:val="▪"/>
      <w:lvlJc w:val="left"/>
      <w:pPr>
        <w:ind w:left="7188" w:firstLine="6828"/>
      </w:pPr>
      <w:rPr>
        <w:rFonts w:ascii="Arial" w:cs="Arial" w:eastAsia="Arial" w:hAnsi="Arial"/>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