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SCI-302-2002</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14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Del MAE. William Vives B., Vicerrector de Vida Estudiantil y Servicios Académicos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MAE. Bernal Martínez G., Director de la Sede Regional San Carlos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2239, Artículo 9, del 14 de junio del 2002.   Modificación del Plan Anual Operativo 2002 “Remodelación Residencias Sede Regional de San Carlos”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Es de interés del Consejo Institucional atender en forma efectiva y paulatina la problemática de las residencias estudiantiles de la Sede Regional de San Carlos.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En Sesión No. 2231, Artículo 12, del 10 de mayo del 2002, el Consejo Institucional solicitó un diagnóstico de las residencias y un plan de acción a corto y mediano plazo.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En Sesión No. 2233 del 24 de mayo del 2002, realizada en San Carlos se expuso la situación de las residencias estudiantiles de la Sede Regional de San Carlos.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Se recibió nota del MAE. William Vives, Vicerrector de VIESA informando de un ACUERDO EN FIRME de la Comisión Ejecutiva del Fondo Solidario de Desarrollo Estudiantil, donde se aprueba destinar un monto de 12 millones de colones a la remodelación del módulo 4 de las residencias estudiantiles en San Carlos.  Este monto se utilizará del presupuesto asignado para la construcción del anfiteatro en Cartago que tiene un presupuesto de 14 624 979.10 colones.  La propuesta es utilizar este monto en forma temporal y cuando se tenga el recurso retornar este monto para continuar el proyecto del anfiteatro.</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pPr>
      <w:r w:rsidDel="00000000" w:rsidR="00000000" w:rsidRPr="00000000">
        <w:rPr>
          <w:rFonts w:ascii="Arial" w:cs="Arial" w:eastAsia="Arial" w:hAnsi="Arial"/>
          <w:b w:val="0"/>
          <w:sz w:val="22"/>
          <w:szCs w:val="22"/>
          <w:vertAlign w:val="baseline"/>
          <w:rtl w:val="0"/>
        </w:rPr>
        <w:t xml:space="preserve">La Comisión de Planificación y Administración revisó y analizó esta Propuesta.</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ind w:left="283" w:hanging="283"/>
        <w:contextualSpacing w:val="0"/>
        <w:jc w:val="both"/>
      </w:pPr>
      <w:r w:rsidDel="00000000" w:rsidR="00000000" w:rsidRPr="00000000">
        <w:rPr>
          <w:rFonts w:ascii="Arial" w:cs="Arial" w:eastAsia="Arial" w:hAnsi="Arial"/>
          <w:b w:val="0"/>
          <w:sz w:val="20"/>
          <w:szCs w:val="20"/>
          <w:vertAlign w:val="baseline"/>
          <w:rtl w:val="0"/>
        </w:rPr>
        <w:t xml:space="preserve">Sesión No. 2239, Artículo 9, del 14 de junio del 2002</w:t>
      </w:r>
    </w:p>
    <w:p w:rsidR="00000000" w:rsidDel="00000000" w:rsidP="00000000" w:rsidRDefault="00000000" w:rsidRPr="00000000">
      <w:pPr>
        <w:spacing w:after="0" w:before="0" w:line="240" w:lineRule="auto"/>
        <w:ind w:left="283" w:hanging="283"/>
        <w:contextualSpacing w:val="0"/>
        <w:jc w:val="both"/>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Aprobar la Modificación del Plan Anual Operativo 2002 para que un monto de 12 millones de colones se destinen a la remodelación del módulo 4 de las residencias estudiantiles de la Sede Regional de San Carlos.</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Reintegrar los 12 millones de colones al objetivo inicial en el momento en que se cuente con los recursos.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ind w:right="49"/>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00000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color w:val="00000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ind w:left="-1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80" w:firstLine="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