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SCI-304-2002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14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2239, Artículo 12, del 14 de junio del 2002.   Servicios de Vida Estudiantil y Servicios Académicos a la FUNDATEC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respuesta de la Administración al Informe Final           AU-257-2001 (Oficio R-108-2002 del 15 de marzo del 2002), Venta de Servicios de la Vicerrectoría de Vida Estudiantil y Servicios Académicos a la FUNDATEC.  Dicha respuesta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before="0" w:line="240" w:lineRule="auto"/>
        <w:ind w:left="540" w:right="558" w:firstLine="0"/>
        <w:contextualSpacing w:val="0"/>
        <w:jc w:val="both"/>
      </w:pPr>
      <w:r w:rsidDel="00000000" w:rsidR="00000000" w:rsidRPr="00000000">
        <w:rPr>
          <w:rFonts w:ascii="Arial" w:cs="Arial" w:eastAsia="Arial" w:hAnsi="Arial"/>
          <w:b w:val="0"/>
          <w:color w:val="000080"/>
          <w:sz w:val="22"/>
          <w:szCs w:val="22"/>
          <w:vertAlign w:val="baseline"/>
          <w:rtl w:val="0"/>
        </w:rPr>
        <w:t xml:space="preserve">“Esta Rectoría coincide en la recomendación de precisar “una normativa que regule la prestación de servicios por parte del ITCR”, tarea que debe realizarse a la luz de las Políticas Institucionales de Prestación de Servicios y a la cual se prestará particular atención.  De igual forma se acepta la recomendación de analizar las condiciones en que se realizan otros servicios.</w:t>
      </w:r>
    </w:p>
    <w:p w:rsidR="00000000" w:rsidDel="00000000" w:rsidP="00000000" w:rsidRDefault="00000000" w:rsidRPr="00000000">
      <w:pPr>
        <w:ind w:left="540" w:right="558" w:firstLine="0"/>
        <w:contextualSpacing w:val="0"/>
        <w:jc w:val="both"/>
      </w:pPr>
      <w:r w:rsidDel="00000000" w:rsidR="00000000" w:rsidRPr="00000000">
        <w:rPr>
          <w:rFonts w:ascii="Arial" w:cs="Arial" w:eastAsia="Arial" w:hAnsi="Arial"/>
          <w:sz w:val="22"/>
          <w:szCs w:val="22"/>
          <w:vertAlign w:val="baseline"/>
          <w:rtl w:val="0"/>
        </w:rPr>
        <w:t xml:space="preserve">Para tal efecto, por medio de esta nota, se están girando instrucciones a los Vicerrectores para que analicen y propongan la normativa necesaria, para establecer los mecanismos de control interno sobre dicho aspecto.”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recibe informe de la Auditoria (AUDI-125-2002 del 10 de mayor del 2002) con respecto a las observaciones al memorando  VIESA-115-2002 “Convenio y Carta de Entendimiento”, señala que “es opinión de esta Auditoria, con fundamento en el criterio legal externo que se adjunta a este memorando, que el Convenio de marras no fue perfeccionado, dado que el Rector no lo firmó, por lo tanto es inválido”.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analizó la respuesta y considera de “buena voluntad” las intenciones de la Administración.  Sin embargo, sino existe un plazo se convertirán en intenciones sin acciones concretas y definidas.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2239, Artículo 12, del 14 de junio del 2002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considera de gran importancia que el Consejo Institucional se le informe de la normativa en el menor plazo posible ya que durante el año se realizan constantemente servicios con la FUNDATEC.</w:t>
      </w:r>
      <w:r w:rsidDel="00000000" w:rsidR="00000000" w:rsidRPr="00000000">
        <w:rPr>
          <w:rtl w:val="0"/>
        </w:rPr>
      </w:r>
    </w:p>
    <w:p w:rsidR="00000000" w:rsidDel="00000000" w:rsidP="00000000" w:rsidRDefault="00000000" w:rsidRPr="00000000">
      <w:pPr>
        <w:ind w:left="283"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Solicitar a la Rectoría informar al Consejo Institucional, en un plazo de ocho días, la fecha en que se realizará la presentación de la Normativa de Relación de los Servicios de la Vicerrectoría de Vida Estudiantil y Servicios Académicos, con la Fundación Tecnológica de Costa Rica, así como de otros servicios.</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283" w:firstLine="0"/>
      </w:pPr>
      <w:rPr>
        <w:b w:val="1"/>
        <w:i w:val="0"/>
        <w:sz w:val="22"/>
        <w:szCs w:val="22"/>
        <w:vertAlign w:val="baseline"/>
      </w:rPr>
    </w:lvl>
    <w:lvl w:ilvl="1">
      <w:start w:val="1"/>
      <w:numFmt w:val="lowerLetter"/>
      <w:lvlText w:val="%2."/>
      <w:lvlJc w:val="left"/>
      <w:pPr>
        <w:ind w:left="873" w:firstLine="513"/>
      </w:pPr>
      <w:rPr>
        <w:vertAlign w:val="baseline"/>
      </w:rPr>
    </w:lvl>
    <w:lvl w:ilvl="2">
      <w:start w:val="1"/>
      <w:numFmt w:val="lowerRoman"/>
      <w:lvlText w:val="%3."/>
      <w:lvlJc w:val="right"/>
      <w:pPr>
        <w:ind w:left="1593" w:firstLine="1413"/>
      </w:pPr>
      <w:rPr>
        <w:vertAlign w:val="baseline"/>
      </w:rPr>
    </w:lvl>
    <w:lvl w:ilvl="3">
      <w:start w:val="1"/>
      <w:numFmt w:val="decimal"/>
      <w:lvlText w:val="%4."/>
      <w:lvlJc w:val="left"/>
      <w:pPr>
        <w:ind w:left="2313" w:firstLine="1953"/>
      </w:pPr>
      <w:rPr>
        <w:vertAlign w:val="baseline"/>
      </w:rPr>
    </w:lvl>
    <w:lvl w:ilvl="4">
      <w:start w:val="1"/>
      <w:numFmt w:val="lowerLetter"/>
      <w:lvlText w:val="%5."/>
      <w:lvlJc w:val="left"/>
      <w:pPr>
        <w:ind w:left="3033" w:firstLine="2673"/>
      </w:pPr>
      <w:rPr>
        <w:vertAlign w:val="baseline"/>
      </w:rPr>
    </w:lvl>
    <w:lvl w:ilvl="5">
      <w:start w:val="1"/>
      <w:numFmt w:val="lowerRoman"/>
      <w:lvlText w:val="%6."/>
      <w:lvlJc w:val="right"/>
      <w:pPr>
        <w:ind w:left="3753" w:firstLine="3573"/>
      </w:pPr>
      <w:rPr>
        <w:vertAlign w:val="baseline"/>
      </w:rPr>
    </w:lvl>
    <w:lvl w:ilvl="6">
      <w:start w:val="1"/>
      <w:numFmt w:val="decimal"/>
      <w:lvlText w:val="%7."/>
      <w:lvlJc w:val="left"/>
      <w:pPr>
        <w:ind w:left="4473" w:firstLine="4113"/>
      </w:pPr>
      <w:rPr>
        <w:vertAlign w:val="baseline"/>
      </w:rPr>
    </w:lvl>
    <w:lvl w:ilvl="7">
      <w:start w:val="1"/>
      <w:numFmt w:val="lowerLetter"/>
      <w:lvlText w:val="%8."/>
      <w:lvlJc w:val="left"/>
      <w:pPr>
        <w:ind w:left="5193" w:firstLine="4833"/>
      </w:pPr>
      <w:rPr>
        <w:vertAlign w:val="baseline"/>
      </w:rPr>
    </w:lvl>
    <w:lvl w:ilvl="8">
      <w:start w:val="1"/>
      <w:numFmt w:val="lowerRoman"/>
      <w:lvlText w:val="%9."/>
      <w:lvlJc w:val="right"/>
      <w:pPr>
        <w:ind w:left="5913" w:firstLine="5733"/>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