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SCI-360-2002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18 de julio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Sra. Olga Lidia Brenes G., Presidenta de la Comisión del Sistema de Escalafón de Carrera Administrativa y de Apoyo a la Academia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Sr. Carlos Mata Castillo, Secretario de la Comisión de Carrera Administrativa y de Apoyo a la Academia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Sra. Julieta Brenes O., Funcionaria de la Escuela de Química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Sr. Daniel Villavicencio C., Coordinador del Taller de Publicaciones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Sr. Norman Redondo Q., Funcionario del Centro de Desarrollo Académico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Sr. Rafael Barquero M., Funcionario de la Escuela de Ingeniería Agrícola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2243, Artículo 13, del 18 de julio del 2002.   Nombramiento de miembra y miembros en Comisión Sistema de Escalafón de Carrera Administrativa y de Apoyo a la Academia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nota CENP-04-2002, del MAE. Carlos Mata Castillo, Secretario de la Comisión Sistema de Escalafón de Carrera Administrativa y de Apoyo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a la Academia, con fecha 3 de marzo del 2002, donde solicita realizar los trámites correspondientes para la elección de dos miembros titulares y dos suplentes en dicha Comisión.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mediante oficio SCI-250-2002, del 21 de mayo del 2002, procedió a realizar el trámite de convocatoria a la Comunidad Institucional, para llenar las vacantes en la Comisión Sistema de Escalafón de Carrera Administrativa y de Apoyo.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recibieron las postulaciones de los siguientes funcionarios:   señora Julieta Brenes Ovares, funcionaria de la Escuela de Química, señor Carlos Sánchez Salas, funcionario del Departamento de Aprovisionamiento, quienes finalizaron su período de nombramiento en dicha Comisión el 17 de junio del 2002.  asimismo se recibieron postulaciones de los señores Daniel Villavicencio Coto, Coordinador del Taller de Publicaciones, Norman Redondo Quesada, funcionario del Centro Desarrollo Académico y Rafael Barquero Morales, funcionario de la Escuela de Ingeniería Agrícola.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2243, Artículo 13, del 18 de julio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Todas las personas antes mencionadas cumplen con los requisitos establecidos en el Artículo 89 del Reglamento Sistema de Escalafón de Carrera Administrativa y de Apoyo.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Nombrar a la señora Julieta Brenes Ovares y al señor Daniel Villavicencio Coto, como miembros titulares en la Comisión Sistema de Escalafón de Carrera Administrativa y de Apoyo a la Academia, para el periodo comprendido entre el 18 de julio del 2002 al 30 de junio del 2005.</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Nombrar a los señores Norman Redondo Quesada y Rafael Barquero Morales, como miembros suplentes en la Comisión Sistema de Escalafón de Carrera Administrativa y de Apoyo a la Academia, para el periodo comprendido entre el 18 de julio del 2002 al 30 de junio del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tbl>
      <w:tblPr>
        <w:tblStyle w:val="Table2"/>
        <w:bidi w:val="0"/>
        <w:tblW w:w="5470.0" w:type="dxa"/>
        <w:jc w:val="left"/>
        <w:tblInd w:w="-70.0" w:type="dxa"/>
        <w:tblLayout w:type="fixed"/>
        <w:tblLook w:val="0000"/>
      </w:tblPr>
      <w:tblGrid>
        <w:gridCol w:w="5470"/>
        <w:tblGridChange w:id="0">
          <w:tblGrid>
            <w:gridCol w:w="547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Servicios Generales e Institucionales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Escuela de Química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Escuela de Ingeniería Agrícola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de Desarrollo Académico (CEDA)</w:t>
            </w:r>
            <w:r w:rsidDel="00000000" w:rsidR="00000000" w:rsidRPr="00000000">
              <w:rPr>
                <w:rtl w:val="0"/>
              </w:rPr>
            </w:r>
          </w:p>
        </w:tc>
      </w:tr>
    </w:tbl>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