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SCI-470-2002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22 de agosto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 Eduardo Arcia V., Director de la Oficina de Asesoría Legal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Adriana Rodríguez Z., Auditora Interna ai.</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Ing. Rafael Gutiérrez B., Coordinador de la Comisión de Planificación y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2248, Artículo 9, del 22 de agosto del 2002.   Caso Alexander Cuadra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Sesión No. 2244, celebrada el 26 de julio del 2002, la Asesoría Legal del ITCR en Oficio AL-216-02, presentó Informe sobre los procesos judiciales que se tramitan en el Juzgado Penal de Cartago, contra el Sr. Alexander Cuadra Hernández.  En dicho Informe adjuntan la nota recibida por el Defensor Público del Sr. Cuadra, en la cual proponen un arreglo de pago con la Institución.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Juzgado Penal de Cartago fijó audiencia preliminar, para el día 29 de agosto del 2002, en la cual las partes pueden conciliar.</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Acción Civil Resarcitoria fue presentada por un monto de ¢3.000.000, más intereses del </w:t>
      </w:r>
      <w:r w:rsidDel="00000000" w:rsidR="00000000" w:rsidRPr="00000000">
        <w:rPr>
          <w:rFonts w:ascii="Courier New" w:cs="Courier New" w:eastAsia="Courier New" w:hAnsi="Courier New"/>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8% anuales desde al año 2000.</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Según Informe Contable del Organismo de Investigación Judicial, se determinó un monto sin respaldo documental por quinientos cuarenta mil colones.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Oficio R-268-02 del 27 de junio del 2002, el señor Rector señaló que en la medida de lo posible se deberá recuperar el monto reclamado, sea la suma de tres millones de colones.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la Sesión citada anteriormente, varios miembros del Consejo Institucional expresaron la probabilidad de fijar un monto como base de negociación.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analizó las medidas alternas, con el fin de llegar a un arreglo satisfactorio para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2248, Artículo 9, del 22 de agosto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dictámen AL-247-2002, del 20 de agosto del 2002, el cual se refiere a la posible conciliación con el señor Alexander Cuadra Hernández.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Autorizar a la Asesoría Legal, para que en la audiencia preliminar fijada por el Juzgado Penal de Cartago, en el Proceso Penal y Acción Civil Resarcitoria contra Alexander Cuadra Hernández; concilie con la Defensoría Pública, el pago por un monto no menor a los ¢3.000.000, en los plazos establecidos por 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