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COMUNICACIÓN DE ACUERDO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SCI-489-2002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29 de agosto del 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978.0" w:type="dxa"/>
        <w:jc w:val="left"/>
        <w:tblInd w:w="-70.0" w:type="dxa"/>
        <w:tblLayout w:type="fixed"/>
        <w:tblLook w:val="0000"/>
      </w:tblPr>
      <w:tblGrid>
        <w:gridCol w:w="1346"/>
        <w:gridCol w:w="7632"/>
        <w:tblGridChange w:id="0">
          <w:tblGrid>
            <w:gridCol w:w="1346"/>
            <w:gridCol w:w="763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-93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RECTORIA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-93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Licda. Josefa Guzmán L., Vicerrectora de Docencia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18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MAE. William Vives B., Vicerrector de Vida Estudiantil y Servicios Académicos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18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Lic. Edgar López R., Director del Departamento de Admisión y Registro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18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Ing. Pedro Martín Ramírez L., Director de la Escuela Ingeniería Agropecuaria Administrativa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18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Dr. Gerardo Navarro R., Coordinador Programa Educación Técnica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MBA. Adolfo Chaves C., Coordinador de la Comisión de Asuntos Académicos y Estudiantiles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MSc. José Andrés Masís Bermúdez, Director de la Oficina de Planificación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de la Educación Superior (OPES)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Licda. Bertalía Sánchez S., Directora Ejecutiva de la Secretaría del Consejo Institucional </w:t>
            </w:r>
          </w:p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ASUNTO: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Sesión No. 2249, Artículo 10, del 29 de agosto del 2002.   Cambio de nombre del título que otorga el Instituto Tecnológico de Costa Rica a los estudiantes de Maestría en Educación Técnica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1134"/>
          <w:tab w:val="left" w:pos="1418"/>
        </w:tabs>
        <w:ind w:right="5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Para los fines consiguientes, le transcribo el acuerdo citado en la referencia.  Este acuerdo dice: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CONSIDERANDO QUE: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Consejo de Docencia en su Sesión No. 01 2000, Artículo 1, del 31 de enero del 2000 aprobó: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600" w:hanging="24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La pertinencia de la opción académica Maestría en Educación Técnica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600" w:hanging="24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El Plan de Estudios para la Maestría en Educación Técnica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Consejo Institucional en su Sesión No. 2102, Artículo 5, inciso a, del 18 de febrero del 2000, acordó: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40" w:right="558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“Aprobar la creación del programa de Maestría en Educación Técnica, con mención en Industrial y Agropecuaria para que sea presentada ante CONARE”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40" w:right="558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Consejo de Docencia en su Sesión No. 01 2001, recomendó proseguir el trámite ante el Consejo Institucional, de cambio de nombre en el título de Maestría en Educación Técnica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vertAlign w:val="baseline"/>
          <w:rtl w:val="0"/>
        </w:rPr>
        <w:t xml:space="preserve">COMUNICACIÓN DE ACUERDO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Sesión No. 2249, Artículo 10, del 29 de agosto del 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Página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Consejo Institucional en su Sesión No 2157, Artículo 8, inciso c, del 9 de febrero del 2001, acordó: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540" w:right="558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“Cambiar el nombre del Título que otorga el ITCR a los estudiantes de Maestría en Educación Técnica con mención Industrial para que se lea en el futuro de la siguiente manera:</w:t>
      </w:r>
    </w:p>
    <w:p w:rsidR="00000000" w:rsidDel="00000000" w:rsidP="00000000" w:rsidRDefault="00000000" w:rsidRPr="00000000">
      <w:pPr>
        <w:ind w:left="540" w:right="558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Título:</w:t>
        <w:tab/>
        <w:tab/>
        <w:tab/>
        <w:t xml:space="preserve">Master en Educación Técnica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40" w:right="558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Grado Académico </w:t>
        <w:tab/>
        <w:t xml:space="preserve">Maestría”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Existe redundancia en el título y no existe uniformidad en el nombre del título en las dos maestrías siendo estas del mismo programa.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 necesario evitar inconvenientes a los graduados del Instituto Tecnológico de Costa Rica, ante el Departamento de Carrera Docente del Servicio Civil.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Que el Consejo de Escuela  Ingeniería Administrativa Agropecuaria, en su Sesión    No. 20-02, Artículo 4, del 28 de agosto del 2002, acordó avalar el cambio de nombre.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Cambiar el nombre del título que otorga el Instituto Tecnológico de Costa Rica a los estudiantes de Maestría en Educación Técnica con Mención Agropecuaria,  para que se lea en el futuro de la siguiente manera: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80"/>
        </w:tabs>
        <w:ind w:left="36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Título:</w:t>
        <w:tab/>
        <w:t xml:space="preserve">Educador(a) Técnico(a)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80"/>
        </w:tabs>
        <w:ind w:left="36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Grado Académico </w:t>
        <w:tab/>
        <w:t xml:space="preserve">Maestría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80"/>
        </w:tabs>
        <w:ind w:left="36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Mención</w:t>
        <w:tab/>
        <w:t xml:space="preserve">Agropecuaria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Cambiar el nombre del Título que otorga el Instituto Tecnológico de Costa Rica a los estudiantes de Maestría en Educación Técnica,  para que se lea en el futuro de la siguiente manera: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Título:</w:t>
        <w:tab/>
        <w:tab/>
        <w:tab/>
        <w:t xml:space="preserve">Educador(a) Técnico(a)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Grado Académico </w:t>
        <w:tab/>
        <w:t xml:space="preserve">Maestría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Comunicar.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ACUERDO FIRME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BSS/gfm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9500.0" w:type="dxa"/>
        <w:jc w:val="left"/>
        <w:tblInd w:w="-70.0" w:type="dxa"/>
        <w:tblLayout w:type="fixed"/>
        <w:tblLook w:val="0000"/>
      </w:tblPr>
      <w:tblGrid>
        <w:gridCol w:w="4750"/>
        <w:gridCol w:w="4750"/>
        <w:tblGridChange w:id="0">
          <w:tblGrid>
            <w:gridCol w:w="4750"/>
            <w:gridCol w:w="47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284" w:right="567" w:hanging="284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c.   Secretaría del Consejo Institucional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5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   Sede Regional San Carlos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Auditoría Interna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Centro Académico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Asesoría Legal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OPI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Vicerrectoría de Administración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FEITEC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258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1"/>
      <w:spacing w:after="0" w:before="708" w:line="240" w:lineRule="auto"/>
      <w:contextualSpacing w:val="0"/>
      <w:jc w:val="right"/>
    </w:pPr>
    <w:r w:rsidDel="00000000" w:rsidR="00000000" w:rsidRPr="00000000">
      <w:rPr>
        <w:rFonts w:ascii="Arial" w:cs="Arial" w:eastAsia="Arial" w:hAnsi="Arial"/>
        <w:b w:val="1"/>
        <w:sz w:val="16"/>
        <w:szCs w:val="16"/>
        <w:vertAlign w:val="baseline"/>
        <w:rtl w:val="0"/>
      </w:rPr>
      <w:t xml:space="preserve">Instituto Tecnológico de Costa Rica</w:t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Secretaría Consejo Institucional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Ext. 2217-2239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0" w:line="240" w:lineRule="auto"/>
      <w:ind w:right="-374"/>
      <w:contextualSpacing w:val="0"/>
    </w:pPr>
    <w:r w:rsidDel="00000000" w:rsidR="00000000" w:rsidRPr="00000000">
      <w:drawing>
        <wp:inline distB="0" distT="0" distL="114300" distR="114300">
          <wp:extent cx="5745480" cy="15367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45480" cy="1536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600" w:firstLine="240"/>
      </w:pPr>
      <w:rPr>
        <w:b w:val="1"/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850" w:firstLine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lvl w:ilvl="0">
      <w:start w:val="1"/>
      <w:numFmt w:val="lowerLetter"/>
      <w:lvlText w:val="%1."/>
      <w:lvlJc w:val="left"/>
      <w:pPr>
        <w:ind w:left="850" w:firstLine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