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SCI-487-2002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agosto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Auxiliadora Navarro C., Directora ai.,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MAE. Bernal Martínez G., Director de la Sede Regional San Carlos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 Antonio Gadea B., MBA., Coordinador de la Escuela de Administración de Empresas Sede Regional San Carlos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2249, Artículo 8, del 29 de agosto del 2002.   Modificación Interna No. 36 (Escuela de Administración de Empresas Sede Regional San Carlos)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recibió memorando DSSC-97-2002, con fecha 8 de agosto del 2002, del Lic. Bernal Martínez G., M.B.A., Director Sede Regional, dirigida al MBA. Adolfo Chaves, miembro de la Comisión de Planificación y Administración, donde solicita la Modificación Presupuestaria Interna No.36. El objeto de esta modificación es de normalizar las partidas que siempre han sido deficitarias para los gastos normales de operación de la Escuela de Administración de Empresas en San Carlos, la cual hay que reforzar para cumplir adecuadamente con la operación normal durante el II Semestre del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recibió oficio AUDI-226-2002, de la Licda. Adriana Rodríguez Zeledón, Auditora Interna a.i, dirigido a la Comisión de Planificación y Administración, donde recomienda a la Administración que se analice la situación a efecto de determinar el comportamiento de estas partidas y así realizar las correcciones que correspondan en la formulación presupuestaria del próximo período.  Además, en términos generales la presentación del documento Modificación Interna No. 36, atiende razonablemente a la normativa aplicable, se verificó y el contenido presupuestario de las partidas a disminuir es suficiente para atender la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recibió memorando PAO-OPI-060-02, del Ing. Ronald Elizondo Campos, Director Oficina de Planificación Institucional, dirigido a la Licda. Bertalía Sánchez S., Directora Ejecutiva de la Secretaría del Consejo Institucional, donde informa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18"/>
          <w:szCs w:val="18"/>
          <w:vertAlign w:val="baseline"/>
          <w:rtl w:val="0"/>
        </w:rPr>
        <w:t xml:space="preserve">“La aplicación de los recursos provenientes de la Modificación Interna No. 36 que está efectuado la Escuela de Administración de Empresas en San Carlos, no afecta el Plan Anual Operativo 2002, puesto que refuerza los recursos económicos del Presupuesto Asignado al cumplimiento del Objetivo Específico 1.3 y Meta 1.3.1 planteada en dicho Plan para el Programa Presupuestario de la Sede Regional de San Carlos.”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2249, Artículo 8, del 29 de agosto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recibió memorando DFC-556-02, de la Licda. Auxiliadora Navarro C., Directora del Departamento Financiero Contable, dirigido a la Licda. Bertalía Sánchez S., Directora Ejecutiva de la Secretaría del Consejo Institucional, donde informa que desde el punto de vista presupuestario no existe inconveniente para la realización de la Modificación No. 36, de la Escuela de Administración de Empresas de la Sede Regional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 siguiente Modificación Interna No 36, por un monto de ¢252.000,00, según documento adjunto.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     VIESA</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sectPr>
      <w:headerReference r:id="rId5" w:type="default"/>
      <w:pgSz w:h="15840" w:w="12240"/>
      <w:pgMar w:bottom="1258"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Arial" w:cs="Arial" w:eastAsia="Arial" w:hAnsi="Arial"/>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