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SCI-138-2004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26 de febrero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38"/>
              <w:contextualSpacing w:val="0"/>
              <w:jc w:val="both"/>
            </w:pPr>
            <w:r w:rsidDel="00000000" w:rsidR="00000000" w:rsidRPr="00000000">
              <w:rPr>
                <w:rFonts w:ascii="Arial" w:cs="Arial" w:eastAsia="Arial" w:hAnsi="Arial"/>
                <w:b w:val="1"/>
                <w:sz w:val="20"/>
                <w:szCs w:val="20"/>
                <w:vertAlign w:val="baseline"/>
                <w:rtl w:val="0"/>
              </w:rPr>
              <w:t xml:space="preserve">Sr. Mario Castillo M., Coordinador de la Comisión Especial para el Reclutamiento, Selección  y Nombramiento a tiempo indefinido del(la) Auditor(a) Interno (a) del Instituto Tecnológico de Costa Rica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0"/>
              <w:contextualSpacing w:val="0"/>
              <w:jc w:val="both"/>
            </w:pPr>
            <w:r w:rsidDel="00000000" w:rsidR="00000000" w:rsidRPr="00000000">
              <w:rPr>
                <w:rFonts w:ascii="Arial" w:cs="Arial" w:eastAsia="Arial" w:hAnsi="Arial"/>
                <w:b w:val="1"/>
                <w:sz w:val="20"/>
                <w:szCs w:val="20"/>
                <w:vertAlign w:val="baseline"/>
                <w:rtl w:val="0"/>
              </w:rPr>
              <w:t xml:space="preserve">MBA. José Rafael Hidalgo R., Vicerrector de Administración</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0"/>
              <w:contextualSpacing w:val="0"/>
              <w:jc w:val="both"/>
            </w:pPr>
            <w:r w:rsidDel="00000000" w:rsidR="00000000" w:rsidRPr="00000000">
              <w:rPr>
                <w:rFonts w:ascii="Arial" w:cs="Arial" w:eastAsia="Arial" w:hAnsi="Arial"/>
                <w:b w:val="1"/>
                <w:sz w:val="20"/>
                <w:szCs w:val="20"/>
                <w:vertAlign w:val="baseline"/>
                <w:rtl w:val="0"/>
              </w:rPr>
              <w:t xml:space="preserve">MBA. José Miguel Solano S., Director del Departamento Recursos Humanos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0"/>
              <w:contextualSpacing w:val="0"/>
              <w:jc w:val="both"/>
            </w:pPr>
            <w:r w:rsidDel="00000000" w:rsidR="00000000" w:rsidRPr="00000000">
              <w:rPr>
                <w:rFonts w:ascii="Arial" w:cs="Arial" w:eastAsia="Arial" w:hAnsi="Arial"/>
                <w:b w:val="1"/>
                <w:sz w:val="20"/>
                <w:szCs w:val="20"/>
                <w:vertAlign w:val="baseline"/>
                <w:rtl w:val="0"/>
              </w:rPr>
              <w:t xml:space="preserve">Máster Mercedes Campos A., Jefe del Centro de Relaciones para el Fortalecimiento del Control y la Fiscalización Superiores Contraloría General de la República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ind w:right="51"/>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2342,  Artículo 11, del 26 de febrero del 2004.  Aprobación de la terna del Concurso de Antecedentes Externo RH-262-2003, para el Nombramiento del Auditor/a Interno/a del Instituto Tecnológico de Costa Rica</w:t>
            </w:r>
            <w:r w:rsidDel="00000000" w:rsidR="00000000" w:rsidRPr="00000000">
              <w:rPr>
                <w:rFonts w:ascii="Arial" w:cs="Arial" w:eastAsia="Arial" w:hAnsi="Arial"/>
                <w:b w:val="1"/>
                <w:vertAlign w:val="baseline"/>
                <w:rtl w:val="0"/>
              </w:rPr>
              <w:t xml:space="preserve">  </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22"/>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00" w:right="51" w:hanging="40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El Consejo Institucional en Sesión No. 2320, Artículo 2, del 24 de octubre del 2003, aprobó el Procedimiento para el Reclutamiento,  Selección  y Nombramiento a tiempo indefinido del (la) Auditor (a) Interno (a) del Instituto Tecnológico de Costa Rica.</w:t>
      </w:r>
    </w:p>
    <w:p w:rsidR="00000000" w:rsidDel="00000000" w:rsidP="00000000" w:rsidRDefault="00000000" w:rsidRPr="00000000">
      <w:pPr>
        <w:spacing w:after="0" w:before="0" w:line="240" w:lineRule="auto"/>
        <w:ind w:left="400" w:right="51" w:hanging="40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00" w:right="51" w:hanging="40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El Consejo Institucional en Sesión No. 2324, Artículo 1, del 7 de noviembre del 2003, aprobó el Pedimento de Concurso Externo para el Proceso de Reclutamiento, Selección y Nombramiento a tiempo indefinido del (la) Auditor (a) Interno (a) del Instituto Tecnológico de Costa Rica.</w:t>
      </w:r>
    </w:p>
    <w:p w:rsidR="00000000" w:rsidDel="00000000" w:rsidP="00000000" w:rsidRDefault="00000000" w:rsidRPr="00000000">
      <w:pPr>
        <w:ind w:left="400" w:hanging="40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00" w:right="51" w:hanging="40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La Comisión Especial para el Reclutamiento, Selección y Nombramiento a tiempo indefinido del(la) Auditor(a) Interno(a) del Instituto Tecnológico de Costa Rica, para la reunión celebrada el día 16 de febrero del 2004 entrevistó a cuatro de las seis personas elegibles convocadas previamente (Minuta No. 9).</w:t>
      </w:r>
    </w:p>
    <w:p w:rsidR="00000000" w:rsidDel="00000000" w:rsidP="00000000" w:rsidRDefault="00000000" w:rsidRPr="00000000">
      <w:pPr>
        <w:spacing w:after="0" w:before="0" w:line="240" w:lineRule="auto"/>
        <w:ind w:right="51"/>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36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Oscar Alberto León Alonso</w:t>
      </w:r>
      <w:r w:rsidDel="00000000" w:rsidR="00000000" w:rsidRPr="00000000">
        <w:rPr>
          <w:rtl w:val="0"/>
        </w:rPr>
      </w:r>
    </w:p>
    <w:p w:rsidR="00000000" w:rsidDel="00000000" w:rsidP="00000000" w:rsidRDefault="00000000" w:rsidRPr="00000000">
      <w:pPr>
        <w:numPr>
          <w:ilvl w:val="0"/>
          <w:numId w:val="3"/>
        </w:numPr>
        <w:tabs>
          <w:tab w:val="left" w:pos="36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Silvia Coto Ramírez</w:t>
      </w:r>
      <w:r w:rsidDel="00000000" w:rsidR="00000000" w:rsidRPr="00000000">
        <w:rPr>
          <w:rtl w:val="0"/>
        </w:rPr>
      </w:r>
    </w:p>
    <w:p w:rsidR="00000000" w:rsidDel="00000000" w:rsidP="00000000" w:rsidRDefault="00000000" w:rsidRPr="00000000">
      <w:pPr>
        <w:numPr>
          <w:ilvl w:val="0"/>
          <w:numId w:val="3"/>
        </w:numPr>
        <w:tabs>
          <w:tab w:val="left" w:pos="36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Mayela Naranjo Monge</w:t>
      </w:r>
      <w:r w:rsidDel="00000000" w:rsidR="00000000" w:rsidRPr="00000000">
        <w:rPr>
          <w:rtl w:val="0"/>
        </w:rPr>
      </w:r>
    </w:p>
    <w:p w:rsidR="00000000" w:rsidDel="00000000" w:rsidP="00000000" w:rsidRDefault="00000000" w:rsidRPr="00000000">
      <w:pPr>
        <w:numPr>
          <w:ilvl w:val="0"/>
          <w:numId w:val="3"/>
        </w:numPr>
        <w:tabs>
          <w:tab w:val="left" w:pos="36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Avelino Álvarez Vega </w:t>
      </w:r>
      <w:r w:rsidDel="00000000" w:rsidR="00000000" w:rsidRPr="00000000">
        <w:rPr>
          <w:rtl w:val="0"/>
        </w:rPr>
      </w:r>
    </w:p>
    <w:p w:rsidR="00000000" w:rsidDel="00000000" w:rsidP="00000000" w:rsidRDefault="00000000" w:rsidRPr="00000000">
      <w:pPr>
        <w:numPr>
          <w:ilvl w:val="0"/>
          <w:numId w:val="3"/>
        </w:numPr>
        <w:tabs>
          <w:tab w:val="left" w:pos="36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Isidro Álvarez Salazar</w:t>
      </w:r>
      <w:r w:rsidDel="00000000" w:rsidR="00000000" w:rsidRPr="00000000">
        <w:rPr>
          <w:rtl w:val="0"/>
        </w:rPr>
      </w:r>
    </w:p>
    <w:p w:rsidR="00000000" w:rsidDel="00000000" w:rsidP="00000000" w:rsidRDefault="00000000" w:rsidRPr="00000000">
      <w:pPr>
        <w:numPr>
          <w:ilvl w:val="0"/>
          <w:numId w:val="3"/>
        </w:numPr>
        <w:tabs>
          <w:tab w:val="left" w:pos="36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Ligia Araya Cisneros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2342, Artículo 11, del 26 de febrero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ind w:right="51"/>
        <w:contextualSpacing w:val="0"/>
        <w:jc w:val="both"/>
      </w:pPr>
      <w:r w:rsidDel="00000000" w:rsidR="00000000" w:rsidRPr="00000000">
        <w:rPr>
          <w:rtl w:val="0"/>
        </w:rPr>
      </w:r>
    </w:p>
    <w:p w:rsidR="00000000" w:rsidDel="00000000" w:rsidP="00000000" w:rsidRDefault="00000000" w:rsidRPr="00000000">
      <w:pPr>
        <w:spacing w:after="0" w:before="0" w:line="240" w:lineRule="auto"/>
        <w:ind w:right="51"/>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2"/>
          <w:szCs w:val="22"/>
          <w:vertAlign w:val="baseline"/>
          <w:rtl w:val="0"/>
        </w:rPr>
        <w:t xml:space="preserve">A dicha entrevista no se hicieron presentes las señoras Silvia Coto Ramírez y Ligia Araya Cisneros, y en consecuencia la Comisión acordó excluir del proceso a las personas antes citadas.</w:t>
      </w:r>
      <w:r w:rsidDel="00000000" w:rsidR="00000000" w:rsidRPr="00000000">
        <w:rPr>
          <w:rtl w:val="0"/>
        </w:rPr>
      </w:r>
    </w:p>
    <w:p w:rsidR="00000000" w:rsidDel="00000000" w:rsidP="00000000" w:rsidRDefault="00000000" w:rsidRPr="00000000">
      <w:pPr>
        <w:ind w:left="360" w:hanging="46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00" w:right="51" w:hanging="40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El Departamento de Recursos Humanos el día miércoles 18 de febrero del 2004, citó a las personas elegibles para aplicarles las pruebas psicométricas.</w:t>
      </w:r>
    </w:p>
    <w:p w:rsidR="00000000" w:rsidDel="00000000" w:rsidP="00000000" w:rsidRDefault="00000000" w:rsidRPr="00000000">
      <w:pPr>
        <w:spacing w:after="0" w:before="0" w:line="240" w:lineRule="auto"/>
        <w:ind w:left="400" w:right="51" w:hanging="40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00" w:right="51" w:hanging="40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La Comisión Especial para el Reclutamiento, Selección y Nombramiento a tiempo indefinido del(la) Auditor(a) Interno(a) del Instituto Tecnológico de Costa Rica, en su reunión celebrada el día lunes 23 de febrero del 2004, según consta en la Minuta No. 10, conoció los resultados finales procesados y  presentados por la MSc. Rocío Herrera Obando, Encargada de Reclutamiento y Selección de Personal del Departamento de Recursos Humanos, indicando el puntaje global de la entrevista y las pruebas psicométricas de las siguientes personas:</w:t>
      </w:r>
    </w:p>
    <w:p w:rsidR="00000000" w:rsidDel="00000000" w:rsidP="00000000" w:rsidRDefault="00000000" w:rsidRPr="00000000">
      <w:pPr>
        <w:spacing w:after="0" w:before="0" w:line="240" w:lineRule="auto"/>
        <w:ind w:right="51"/>
        <w:contextualSpacing w:val="0"/>
        <w:jc w:val="both"/>
      </w:pPr>
      <w:r w:rsidDel="00000000" w:rsidR="00000000" w:rsidRPr="00000000">
        <w:rPr>
          <w:rtl w:val="0"/>
        </w:rPr>
      </w:r>
    </w:p>
    <w:p w:rsidR="00000000" w:rsidDel="00000000" w:rsidP="00000000" w:rsidRDefault="00000000" w:rsidRPr="00000000">
      <w:pPr>
        <w:numPr>
          <w:ilvl w:val="1"/>
          <w:numId w:val="2"/>
        </w:numPr>
        <w:ind w:left="800" w:hanging="40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Oscar Alberto León Alonso 90.265</w:t>
      </w:r>
      <w:r w:rsidDel="00000000" w:rsidR="00000000" w:rsidRPr="00000000">
        <w:rPr>
          <w:rtl w:val="0"/>
        </w:rPr>
      </w:r>
    </w:p>
    <w:p w:rsidR="00000000" w:rsidDel="00000000" w:rsidP="00000000" w:rsidRDefault="00000000" w:rsidRPr="00000000">
      <w:pPr>
        <w:numPr>
          <w:ilvl w:val="1"/>
          <w:numId w:val="2"/>
        </w:numPr>
        <w:ind w:left="800" w:hanging="40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Mayela Naranjo Monge       89.875</w:t>
      </w:r>
      <w:r w:rsidDel="00000000" w:rsidR="00000000" w:rsidRPr="00000000">
        <w:rPr>
          <w:rtl w:val="0"/>
        </w:rPr>
      </w:r>
    </w:p>
    <w:p w:rsidR="00000000" w:rsidDel="00000000" w:rsidP="00000000" w:rsidRDefault="00000000" w:rsidRPr="00000000">
      <w:pPr>
        <w:numPr>
          <w:ilvl w:val="1"/>
          <w:numId w:val="2"/>
        </w:numPr>
        <w:ind w:left="800" w:hanging="40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Avelino Álvarez Vega          89.295   </w:t>
      </w:r>
      <w:r w:rsidDel="00000000" w:rsidR="00000000" w:rsidRPr="00000000">
        <w:rPr>
          <w:rtl w:val="0"/>
        </w:rPr>
      </w:r>
    </w:p>
    <w:p w:rsidR="00000000" w:rsidDel="00000000" w:rsidP="00000000" w:rsidRDefault="00000000" w:rsidRPr="00000000">
      <w:pPr>
        <w:numPr>
          <w:ilvl w:val="1"/>
          <w:numId w:val="2"/>
        </w:numPr>
        <w:ind w:left="800" w:hanging="40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Isidro Álvarez Salazar         90.735</w:t>
      </w:r>
      <w:r w:rsidDel="00000000" w:rsidR="00000000" w:rsidRPr="00000000">
        <w:rPr>
          <w:rtl w:val="0"/>
        </w:rPr>
      </w:r>
    </w:p>
    <w:p w:rsidR="00000000" w:rsidDel="00000000" w:rsidP="00000000" w:rsidRDefault="00000000" w:rsidRPr="00000000">
      <w:pPr>
        <w:spacing w:after="0" w:before="0" w:line="240" w:lineRule="auto"/>
        <w:ind w:right="51"/>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00" w:right="51" w:hanging="40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La Comisión Especial con vista en los puntajes obtenidos, según consta en la Minuta No. 10, acordó recomendar al Consejo Institucional la siguiente terna de elegibles al Concurso de Auditor/a Interno/a del Instituto Tecnológico de Costa Rica, según lo prescrito en los incisos a y b, del numeral 9.3, “Selección de la terna por parte de la Comisión Especial”, del Procedimiento para el Reclutamiento,  Selección  y Nombramiento a tiempo indefinido del (la) Auditor (a) Interno (a) del Instituto Tecnológico de Costa Rica, aprobado en Sesión No. 2320, Artículo 2, del 24 de octubre del 2004.  Los incisos dicen:  </w:t>
      </w:r>
    </w:p>
    <w:p w:rsidR="00000000" w:rsidDel="00000000" w:rsidP="00000000" w:rsidRDefault="00000000" w:rsidRPr="00000000">
      <w:pPr>
        <w:numPr>
          <w:ilvl w:val="1"/>
          <w:numId w:val="4"/>
        </w:numPr>
        <w:ind w:left="700" w:hanging="30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Se tomará como terna las tres personas que obtuvieron el mayor puntaje.</w:t>
      </w:r>
      <w:r w:rsidDel="00000000" w:rsidR="00000000" w:rsidRPr="00000000">
        <w:rPr>
          <w:rtl w:val="0"/>
        </w:rPr>
      </w:r>
    </w:p>
    <w:p w:rsidR="00000000" w:rsidDel="00000000" w:rsidP="00000000" w:rsidRDefault="00000000" w:rsidRPr="00000000">
      <w:pPr>
        <w:numPr>
          <w:ilvl w:val="1"/>
          <w:numId w:val="4"/>
        </w:numPr>
        <w:ind w:left="700" w:hanging="30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Se prepara la propuesta de acuerdo para ser enviada al Consejo Institucional.</w:t>
      </w:r>
      <w:r w:rsidDel="00000000" w:rsidR="00000000" w:rsidRPr="00000000">
        <w:rPr>
          <w:rtl w:val="0"/>
        </w:rPr>
      </w:r>
    </w:p>
    <w:p w:rsidR="00000000" w:rsidDel="00000000" w:rsidP="00000000" w:rsidRDefault="00000000" w:rsidRPr="00000000">
      <w:pPr>
        <w:spacing w:after="0" w:before="0" w:line="240" w:lineRule="auto"/>
        <w:ind w:left="400" w:right="51"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400" w:right="51" w:firstLine="0"/>
        <w:contextualSpacing w:val="0"/>
        <w:jc w:val="both"/>
      </w:pPr>
      <w:r w:rsidDel="00000000" w:rsidR="00000000" w:rsidRPr="00000000">
        <w:rPr>
          <w:rFonts w:ascii="Arial" w:cs="Arial" w:eastAsia="Arial" w:hAnsi="Arial"/>
          <w:b w:val="0"/>
          <w:sz w:val="22"/>
          <w:szCs w:val="22"/>
          <w:vertAlign w:val="baseline"/>
          <w:rtl w:val="0"/>
        </w:rPr>
        <w:t xml:space="preserve">Dicha terna se detalla a continuación:</w:t>
      </w:r>
    </w:p>
    <w:p w:rsidR="00000000" w:rsidDel="00000000" w:rsidP="00000000" w:rsidRDefault="00000000" w:rsidRPr="00000000">
      <w:pPr>
        <w:spacing w:after="0" w:before="0" w:line="240" w:lineRule="auto"/>
        <w:ind w:left="400" w:right="51" w:firstLine="0"/>
        <w:contextualSpacing w:val="0"/>
        <w:jc w:val="both"/>
      </w:pPr>
      <w:r w:rsidDel="00000000" w:rsidR="00000000" w:rsidRPr="00000000">
        <w:rPr>
          <w:rtl w:val="0"/>
        </w:rPr>
      </w:r>
    </w:p>
    <w:p w:rsidR="00000000" w:rsidDel="00000000" w:rsidP="00000000" w:rsidRDefault="00000000" w:rsidRPr="00000000">
      <w:pPr>
        <w:numPr>
          <w:ilvl w:val="2"/>
          <w:numId w:val="3"/>
        </w:numPr>
        <w:spacing w:before="120" w:lineRule="auto"/>
        <w:ind w:left="896"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Isidro Álvarez Salazar           90.735</w:t>
      </w:r>
      <w:r w:rsidDel="00000000" w:rsidR="00000000" w:rsidRPr="00000000">
        <w:rPr>
          <w:rtl w:val="0"/>
        </w:rPr>
      </w:r>
    </w:p>
    <w:p w:rsidR="00000000" w:rsidDel="00000000" w:rsidP="00000000" w:rsidRDefault="00000000" w:rsidRPr="00000000">
      <w:pPr>
        <w:numPr>
          <w:ilvl w:val="2"/>
          <w:numId w:val="3"/>
        </w:numPr>
        <w:spacing w:before="120" w:lineRule="auto"/>
        <w:ind w:left="896"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Oscar Alberto León Alonso   90.265</w:t>
      </w:r>
      <w:r w:rsidDel="00000000" w:rsidR="00000000" w:rsidRPr="00000000">
        <w:rPr>
          <w:rtl w:val="0"/>
        </w:rPr>
      </w:r>
    </w:p>
    <w:p w:rsidR="00000000" w:rsidDel="00000000" w:rsidP="00000000" w:rsidRDefault="00000000" w:rsidRPr="00000000">
      <w:pPr>
        <w:numPr>
          <w:ilvl w:val="2"/>
          <w:numId w:val="3"/>
        </w:numPr>
        <w:spacing w:before="120" w:lineRule="auto"/>
        <w:ind w:left="896"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Mayela Naranjo Monge         89.875</w:t>
      </w:r>
      <w:r w:rsidDel="00000000" w:rsidR="00000000" w:rsidRPr="00000000">
        <w:rPr>
          <w:rtl w:val="0"/>
        </w:rPr>
      </w:r>
    </w:p>
    <w:p w:rsidR="00000000" w:rsidDel="00000000" w:rsidP="00000000" w:rsidRDefault="00000000" w:rsidRPr="00000000">
      <w:pPr>
        <w:spacing w:after="0" w:before="0" w:line="240" w:lineRule="auto"/>
        <w:ind w:right="51"/>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2342, Artículo 11, del 26 de febrero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3</w:t>
      </w:r>
      <w:r w:rsidDel="00000000" w:rsidR="00000000" w:rsidRPr="00000000">
        <w:rPr>
          <w:rtl w:val="0"/>
        </w:rPr>
      </w:r>
    </w:p>
    <w:p w:rsidR="00000000" w:rsidDel="00000000" w:rsidP="00000000" w:rsidRDefault="00000000" w:rsidRPr="00000000">
      <w:pPr>
        <w:spacing w:after="0" w:before="0" w:line="240" w:lineRule="auto"/>
        <w:ind w:right="51"/>
        <w:contextualSpacing w:val="0"/>
        <w:jc w:val="both"/>
      </w:pPr>
      <w:r w:rsidDel="00000000" w:rsidR="00000000" w:rsidRPr="00000000">
        <w:rPr>
          <w:rtl w:val="0"/>
        </w:rPr>
      </w:r>
    </w:p>
    <w:p w:rsidR="00000000" w:rsidDel="00000000" w:rsidP="00000000" w:rsidRDefault="00000000" w:rsidRPr="00000000">
      <w:pPr>
        <w:spacing w:after="0" w:before="0" w:line="240" w:lineRule="auto"/>
        <w:ind w:right="51"/>
        <w:contextualSpacing w:val="0"/>
        <w:jc w:val="both"/>
      </w:pPr>
      <w:r w:rsidDel="00000000" w:rsidR="00000000" w:rsidRPr="00000000">
        <w:rPr>
          <w:rtl w:val="0"/>
        </w:rPr>
      </w:r>
    </w:p>
    <w:p w:rsidR="00000000" w:rsidDel="00000000" w:rsidP="00000000" w:rsidRDefault="00000000" w:rsidRPr="00000000">
      <w:pPr>
        <w:ind w:right="840"/>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tabs>
          <w:tab w:val="left" w:pos="-700"/>
        </w:tabs>
        <w:spacing w:after="0" w:before="0" w:line="240" w:lineRule="auto"/>
        <w:ind w:left="708" w:right="-40" w:firstLine="0"/>
        <w:contextualSpacing w:val="0"/>
        <w:jc w:val="both"/>
      </w:pPr>
      <w:r w:rsidDel="00000000" w:rsidR="00000000" w:rsidRPr="00000000">
        <w:rPr>
          <w:rtl w:val="0"/>
        </w:rPr>
      </w:r>
    </w:p>
    <w:p w:rsidR="00000000" w:rsidDel="00000000" w:rsidP="00000000" w:rsidRDefault="00000000" w:rsidRPr="00000000">
      <w:pPr>
        <w:numPr>
          <w:ilvl w:val="3"/>
          <w:numId w:val="3"/>
        </w:numPr>
        <w:tabs>
          <w:tab w:val="left" w:pos="-700"/>
        </w:tabs>
        <w:spacing w:after="0" w:before="0" w:line="240" w:lineRule="auto"/>
        <w:ind w:left="400" w:right="40" w:hanging="40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Integrar la siguiente terna de elegibles al Concurso de Auditor/a Interno/a del Instituto Tecnológico de Costa Rica:</w:t>
      </w:r>
    </w:p>
    <w:p w:rsidR="00000000" w:rsidDel="00000000" w:rsidP="00000000" w:rsidRDefault="00000000" w:rsidRPr="00000000">
      <w:pPr>
        <w:numPr>
          <w:ilvl w:val="0"/>
          <w:numId w:val="1"/>
        </w:numPr>
        <w:spacing w:before="120" w:lineRule="auto"/>
        <w:ind w:left="900" w:hanging="50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Isidro Álvarez Salazar           </w:t>
      </w:r>
      <w:r w:rsidDel="00000000" w:rsidR="00000000" w:rsidRPr="00000000">
        <w:rPr>
          <w:rtl w:val="0"/>
        </w:rPr>
      </w:r>
    </w:p>
    <w:p w:rsidR="00000000" w:rsidDel="00000000" w:rsidP="00000000" w:rsidRDefault="00000000" w:rsidRPr="00000000">
      <w:pPr>
        <w:numPr>
          <w:ilvl w:val="0"/>
          <w:numId w:val="1"/>
        </w:numPr>
        <w:spacing w:before="120" w:lineRule="auto"/>
        <w:ind w:left="900" w:hanging="50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Oscar Alberto León Alonso   </w:t>
      </w:r>
      <w:r w:rsidDel="00000000" w:rsidR="00000000" w:rsidRPr="00000000">
        <w:rPr>
          <w:rtl w:val="0"/>
        </w:rPr>
      </w:r>
    </w:p>
    <w:p w:rsidR="00000000" w:rsidDel="00000000" w:rsidP="00000000" w:rsidRDefault="00000000" w:rsidRPr="00000000">
      <w:pPr>
        <w:numPr>
          <w:ilvl w:val="0"/>
          <w:numId w:val="1"/>
        </w:numPr>
        <w:spacing w:before="120" w:lineRule="auto"/>
        <w:ind w:left="900" w:hanging="50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Mayela Naranjo Monge         </w:t>
      </w:r>
      <w:r w:rsidDel="00000000" w:rsidR="00000000" w:rsidRPr="00000000">
        <w:rPr>
          <w:rtl w:val="0"/>
        </w:rPr>
      </w:r>
    </w:p>
    <w:p w:rsidR="00000000" w:rsidDel="00000000" w:rsidP="00000000" w:rsidRDefault="00000000" w:rsidRPr="00000000">
      <w:pPr>
        <w:tabs>
          <w:tab w:val="left" w:pos="-700"/>
        </w:tabs>
        <w:spacing w:after="0" w:before="0" w:line="240" w:lineRule="auto"/>
        <w:ind w:left="1080" w:right="-60" w:firstLine="0"/>
        <w:contextualSpacing w:val="0"/>
        <w:jc w:val="both"/>
      </w:pPr>
      <w:r w:rsidDel="00000000" w:rsidR="00000000" w:rsidRPr="00000000">
        <w:rPr>
          <w:rtl w:val="0"/>
        </w:rPr>
      </w:r>
    </w:p>
    <w:p w:rsidR="00000000" w:rsidDel="00000000" w:rsidP="00000000" w:rsidRDefault="00000000" w:rsidRPr="00000000">
      <w:pPr>
        <w:numPr>
          <w:ilvl w:val="1"/>
          <w:numId w:val="3"/>
        </w:numPr>
        <w:tabs>
          <w:tab w:val="left" w:pos="-700"/>
        </w:tabs>
        <w:spacing w:after="0" w:before="0" w:line="240" w:lineRule="auto"/>
        <w:ind w:left="400" w:right="-60" w:hanging="40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Enviar a la Contraloría General de la República la terna y la documentación correspondiente para su análisis y aprobación.</w:t>
      </w:r>
    </w:p>
    <w:p w:rsidR="00000000" w:rsidDel="00000000" w:rsidP="00000000" w:rsidRDefault="00000000" w:rsidRPr="00000000">
      <w:pPr>
        <w:tabs>
          <w:tab w:val="left" w:pos="-700"/>
        </w:tabs>
        <w:spacing w:after="0" w:before="0" w:line="240" w:lineRule="auto"/>
        <w:ind w:right="-60"/>
        <w:contextualSpacing w:val="0"/>
        <w:jc w:val="both"/>
      </w:pPr>
      <w:r w:rsidDel="00000000" w:rsidR="00000000" w:rsidRPr="00000000">
        <w:rPr>
          <w:rtl w:val="0"/>
        </w:rPr>
      </w:r>
    </w:p>
    <w:p w:rsidR="00000000" w:rsidDel="00000000" w:rsidP="00000000" w:rsidRDefault="00000000" w:rsidRPr="00000000">
      <w:pPr>
        <w:numPr>
          <w:ilvl w:val="1"/>
          <w:numId w:val="3"/>
        </w:numPr>
        <w:tabs>
          <w:tab w:val="left" w:pos="-700"/>
        </w:tabs>
        <w:spacing w:after="0" w:before="0" w:line="240" w:lineRule="auto"/>
        <w:ind w:left="400" w:right="-60" w:hanging="40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20" w:line="240" w:lineRule="auto"/>
      <w:contextualSpacing w:val="0"/>
      <w:jc w:val="right"/>
    </w:pPr>
    <w:r w:rsidDel="00000000" w:rsidR="00000000" w:rsidRPr="00000000">
      <w:rPr>
        <w:rFonts w:ascii="Times New Roman" w:cs="Times New Roman" w:eastAsia="Times New Roman" w:hAnsi="Times New Roman"/>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20" w:line="240" w:lineRule="auto"/>
      <w:contextualSpacing w:val="0"/>
      <w:jc w:val="right"/>
    </w:pPr>
    <w:r w:rsidDel="00000000" w:rsidR="00000000" w:rsidRPr="00000000">
      <w:rPr>
        <w:rFonts w:ascii="Times New Roman" w:cs="Times New Roman" w:eastAsia="Times New Roman" w:hAnsi="Times New Roman"/>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340" w:firstLine="198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i w:val="0"/>
        <w:vertAlign w:val="baseline"/>
      </w:rPr>
    </w:lvl>
    <w:lvl w:ilvl="1">
      <w:start w:val="1"/>
      <w:numFmt w:val="decimal"/>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vertAlign w:val="baseline"/>
      </w:rPr>
    </w:lvl>
    <w:lvl w:ilvl="2">
      <w:start w:val="1"/>
      <w:numFmt w:val="decimal"/>
      <w:lvlText w:val="%3."/>
      <w:lvlJc w:val="left"/>
      <w:pPr>
        <w:ind w:left="2340" w:firstLine="1980"/>
      </w:pPr>
      <w:rPr>
        <w:b w:val="1"/>
        <w:i w:val="0"/>
        <w:sz w:val="22"/>
        <w:szCs w:val="22"/>
        <w:vertAlign w:val="baseline"/>
      </w:rPr>
    </w:lvl>
    <w:lvl w:ilvl="3">
      <w:start w:val="1"/>
      <w:numFmt w:val="lowerLetter"/>
      <w:lvlText w:val="%4."/>
      <w:lvlJc w:val="left"/>
      <w:pPr>
        <w:ind w:left="2880" w:firstLine="2520"/>
      </w:pPr>
      <w:rPr>
        <w:b w:val="1"/>
        <w:i w:val="0"/>
        <w:sz w:val="22"/>
        <w:szCs w:val="22"/>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3"/>
      <w:numFmt w:val="decimal"/>
      <w:lvlText w:val="%1."/>
      <w:lvlJc w:val="left"/>
      <w:pPr>
        <w:ind w:left="1429" w:firstLine="1069"/>
      </w:pPr>
      <w:rPr>
        <w:vertAlign w:val="baseline"/>
      </w:rPr>
    </w:lvl>
    <w:lvl w:ilvl="1">
      <w:start w:val="1"/>
      <w:numFmt w:val="lowerLetter"/>
      <w:lvlText w:val="%2."/>
      <w:lvlJc w:val="left"/>
      <w:pPr>
        <w:ind w:left="2149" w:firstLine="1789"/>
      </w:pPr>
      <w:rPr>
        <w:vertAlign w:val="baseline"/>
      </w:rPr>
    </w:lvl>
    <w:lvl w:ilvl="2">
      <w:start w:val="1"/>
      <w:numFmt w:val="lowerRoman"/>
      <w:lvlText w:val="%3."/>
      <w:lvlJc w:val="right"/>
      <w:pPr>
        <w:ind w:left="2869" w:firstLine="2689"/>
      </w:pPr>
      <w:rPr>
        <w:vertAlign w:val="baseline"/>
      </w:rPr>
    </w:lvl>
    <w:lvl w:ilvl="3">
      <w:start w:val="1"/>
      <w:numFmt w:val="decimal"/>
      <w:lvlText w:val="%4."/>
      <w:lvlJc w:val="left"/>
      <w:pPr>
        <w:ind w:left="3589" w:firstLine="3229"/>
      </w:pPr>
      <w:rPr>
        <w:vertAlign w:val="baseline"/>
      </w:rPr>
    </w:lvl>
    <w:lvl w:ilvl="4">
      <w:start w:val="1"/>
      <w:numFmt w:val="lowerLetter"/>
      <w:lvlText w:val="%5."/>
      <w:lvlJc w:val="left"/>
      <w:pPr>
        <w:ind w:left="4309" w:firstLine="3949"/>
      </w:pPr>
      <w:rPr>
        <w:vertAlign w:val="baseline"/>
      </w:rPr>
    </w:lvl>
    <w:lvl w:ilvl="5">
      <w:start w:val="1"/>
      <w:numFmt w:val="lowerRoman"/>
      <w:lvlText w:val="%6."/>
      <w:lvlJc w:val="right"/>
      <w:pPr>
        <w:ind w:left="5029" w:firstLine="4849"/>
      </w:pPr>
      <w:rPr>
        <w:vertAlign w:val="baseline"/>
      </w:rPr>
    </w:lvl>
    <w:lvl w:ilvl="6">
      <w:start w:val="1"/>
      <w:numFmt w:val="decimal"/>
      <w:lvlText w:val="%7."/>
      <w:lvlJc w:val="left"/>
      <w:pPr>
        <w:ind w:left="5749" w:firstLine="5389"/>
      </w:pPr>
      <w:rPr>
        <w:vertAlign w:val="baseline"/>
      </w:rPr>
    </w:lvl>
    <w:lvl w:ilvl="7">
      <w:start w:val="1"/>
      <w:numFmt w:val="lowerLetter"/>
      <w:lvlText w:val="%8."/>
      <w:lvlJc w:val="left"/>
      <w:pPr>
        <w:ind w:left="6469" w:firstLine="6109"/>
      </w:pPr>
      <w:rPr>
        <w:vertAlign w:val="baseline"/>
      </w:rPr>
    </w:lvl>
    <w:lvl w:ilvl="8">
      <w:start w:val="1"/>
      <w:numFmt w:val="lowerRoman"/>
      <w:lvlText w:val="%9."/>
      <w:lvlJc w:val="right"/>
      <w:pPr>
        <w:ind w:left="7189" w:firstLine="7009"/>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