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i w:val="0"/>
          <w:sz w:val="20"/>
          <w:szCs w:val="20"/>
          <w:vertAlign w:val="baseline"/>
          <w:rtl w:val="0"/>
        </w:rPr>
        <w:t xml:space="preserve">SCI-163-2004</w:t>
      </w:r>
    </w:p>
    <w:p w:rsidR="00000000" w:rsidDel="00000000" w:rsidP="00000000" w:rsidRDefault="00000000" w:rsidRPr="00000000">
      <w:pPr>
        <w:contextualSpacing w:val="0"/>
        <w:jc w:val="right"/>
      </w:pPr>
      <w:r w:rsidDel="00000000" w:rsidR="00000000" w:rsidRPr="00000000">
        <w:rPr>
          <w:b w:val="1"/>
          <w:i w:val="0"/>
          <w:sz w:val="20"/>
          <w:szCs w:val="20"/>
          <w:vertAlign w:val="baseline"/>
          <w:rtl w:val="0"/>
        </w:rPr>
        <w:t xml:space="preserve"> 8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i w:val="0"/>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i w:val="0"/>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i w:val="0"/>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i w:val="0"/>
                <w:sz w:val="20"/>
                <w:szCs w:val="20"/>
                <w:vertAlign w:val="baseline"/>
                <w:rtl w:val="0"/>
              </w:rPr>
              <w:t xml:space="preserve">Licda. Ana Isabel Solano B., MBA.,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MBA. José Miguel Solano S., Director del Departamento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i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Extraordinaria No. 2344, Artículo 1, del 8 de marzo del 2004.  Modificación al Acuerdo tomado en la Sesión No. 2323, Artículo 20, del 6 de noviembre del 2003  “Mecanismo de pago para Cursos de  Verano 2003-2004”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right="-60" w:hanging="357"/>
        <w:jc w:val="both"/>
        <w:rPr>
          <w:rFonts w:ascii="Arial" w:cs="Arial" w:eastAsia="Arial" w:hAnsi="Arial"/>
        </w:rPr>
      </w:pPr>
      <w:r w:rsidDel="00000000" w:rsidR="00000000" w:rsidRPr="00000000">
        <w:rPr>
          <w:i w:val="0"/>
          <w:sz w:val="22"/>
          <w:szCs w:val="22"/>
          <w:vertAlign w:val="baseline"/>
          <w:rtl w:val="0"/>
        </w:rPr>
        <w:t xml:space="preserve">El Consejo Institucional en Sesión No. 2323, Artículo 20, del 6 de noviembre del 2003, acordó lo siguiente:</w:t>
      </w:r>
      <w:r w:rsidDel="00000000" w:rsidR="00000000" w:rsidRPr="00000000">
        <w:rPr>
          <w:rtl w:val="0"/>
        </w:rPr>
      </w:r>
    </w:p>
    <w:p w:rsidR="00000000" w:rsidDel="00000000" w:rsidP="00000000" w:rsidRDefault="00000000" w:rsidRPr="00000000">
      <w:pPr>
        <w:ind w:left="711" w:right="918" w:firstLine="0"/>
        <w:contextualSpacing w:val="0"/>
        <w:jc w:val="both"/>
      </w:pPr>
      <w:r w:rsidDel="00000000" w:rsidR="00000000" w:rsidRPr="00000000">
        <w:rPr>
          <w:rtl w:val="0"/>
        </w:rPr>
      </w:r>
    </w:p>
    <w:p w:rsidR="00000000" w:rsidDel="00000000" w:rsidP="00000000" w:rsidRDefault="00000000" w:rsidRPr="00000000">
      <w:pPr>
        <w:tabs>
          <w:tab w:val="left" w:pos="3686"/>
        </w:tabs>
        <w:ind w:left="600" w:right="440" w:firstLine="11.000000000000014"/>
        <w:contextualSpacing w:val="0"/>
        <w:jc w:val="both"/>
      </w:pPr>
      <w:r w:rsidDel="00000000" w:rsidR="00000000" w:rsidRPr="00000000">
        <w:rPr>
          <w:b w:val="1"/>
          <w:i w:val="0"/>
          <w:sz w:val="20"/>
          <w:szCs w:val="20"/>
          <w:vertAlign w:val="baseline"/>
          <w:rtl w:val="0"/>
        </w:rPr>
        <w:t xml:space="preserve">“ACUERDA:</w:t>
      </w:r>
      <w:r w:rsidDel="00000000" w:rsidR="00000000" w:rsidRPr="00000000">
        <w:rPr>
          <w:rtl w:val="0"/>
        </w:rPr>
      </w:r>
    </w:p>
    <w:p w:rsidR="00000000" w:rsidDel="00000000" w:rsidP="00000000" w:rsidRDefault="00000000" w:rsidRPr="00000000">
      <w:pPr>
        <w:tabs>
          <w:tab w:val="left" w:pos="3686"/>
        </w:tabs>
        <w:ind w:left="600" w:right="440" w:firstLine="11.000000000000014"/>
        <w:contextualSpacing w:val="0"/>
        <w:jc w:val="both"/>
      </w:pPr>
      <w:r w:rsidDel="00000000" w:rsidR="00000000" w:rsidRPr="00000000">
        <w:rPr>
          <w:rtl w:val="0"/>
        </w:rPr>
      </w:r>
    </w:p>
    <w:p w:rsidR="00000000" w:rsidDel="00000000" w:rsidP="00000000" w:rsidRDefault="00000000" w:rsidRPr="00000000">
      <w:pPr>
        <w:tabs>
          <w:tab w:val="left" w:pos="3686"/>
        </w:tabs>
        <w:ind w:left="600" w:right="440" w:firstLine="11.000000000000014"/>
        <w:contextualSpacing w:val="0"/>
        <w:jc w:val="both"/>
      </w:pPr>
      <w:r w:rsidDel="00000000" w:rsidR="00000000" w:rsidRPr="00000000">
        <w:rPr>
          <w:b w:val="1"/>
          <w:i w:val="0"/>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3686"/>
        </w:tabs>
        <w:ind w:left="168" w:right="440" w:firstLine="11.000000000000014"/>
        <w:contextualSpacing w:val="0"/>
        <w:jc w:val="both"/>
      </w:pPr>
      <w:r w:rsidDel="00000000" w:rsidR="00000000" w:rsidRPr="00000000">
        <w:rPr>
          <w:rtl w:val="0"/>
        </w:rPr>
      </w:r>
    </w:p>
    <w:p w:rsidR="00000000" w:rsidDel="00000000" w:rsidP="00000000" w:rsidRDefault="00000000" w:rsidRPr="00000000">
      <w:pPr>
        <w:numPr>
          <w:ilvl w:val="0"/>
          <w:numId w:val="3"/>
        </w:numPr>
        <w:ind w:left="840" w:hanging="240"/>
        <w:jc w:val="both"/>
        <w:rPr>
          <w:rFonts w:ascii="Arial" w:cs="Arial" w:eastAsia="Arial" w:hAnsi="Arial"/>
          <w:color w:val="000000"/>
          <w:sz w:val="20"/>
          <w:szCs w:val="20"/>
        </w:rPr>
      </w:pPr>
      <w:r w:rsidDel="00000000" w:rsidR="00000000" w:rsidRPr="00000000">
        <w:rPr>
          <w:i w:val="0"/>
          <w:color w:val="000000"/>
          <w:sz w:val="20"/>
          <w:szCs w:val="20"/>
          <w:vertAlign w:val="baseline"/>
          <w:rtl w:val="0"/>
        </w:rPr>
        <w:t xml:space="preserve">Establecer que para el período de Cursos de Verano 2003-2004, los intervalos de pago para cada tipo serán: </w:t>
      </w:r>
      <w:r w:rsidDel="00000000" w:rsidR="00000000" w:rsidRPr="00000000">
        <w:rPr>
          <w:rtl w:val="0"/>
        </w:rPr>
      </w:r>
    </w:p>
    <w:tbl>
      <w:tblPr>
        <w:tblStyle w:val="Table2"/>
        <w:bidi w:val="0"/>
        <w:tblW w:w="5758.0" w:type="dxa"/>
        <w:jc w:val="left"/>
        <w:tblInd w:w="-15.0" w:type="dxa"/>
        <w:tblLayout w:type="fixed"/>
        <w:tblLook w:val="0000"/>
      </w:tblPr>
      <w:tblGrid>
        <w:gridCol w:w="1095"/>
        <w:gridCol w:w="805"/>
        <w:gridCol w:w="50"/>
        <w:gridCol w:w="1978"/>
        <w:gridCol w:w="1830"/>
        <w:tblGridChange w:id="0">
          <w:tblGrid>
            <w:gridCol w:w="1095"/>
            <w:gridCol w:w="805"/>
            <w:gridCol w:w="50"/>
            <w:gridCol w:w="1978"/>
            <w:gridCol w:w="1830"/>
          </w:tblGrid>
        </w:tblGridChange>
      </w:tblGrid>
      <w:tr>
        <w:trPr>
          <w:trHeight w:val="240" w:hRule="atLeast"/>
        </w:trPr>
        <w:tc>
          <w:tcPr>
            <w:gridSpan w:val="5"/>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0"/>
                <w:i w:val="0"/>
                <w:sz w:val="20"/>
                <w:szCs w:val="20"/>
                <w:vertAlign w:val="baseline"/>
                <w:rtl w:val="0"/>
              </w:rPr>
              <w:t xml:space="preserve">INTERVALOS DE PAGO</w:t>
            </w:r>
          </w:p>
        </w:tc>
      </w:tr>
      <w:tr>
        <w:trPr>
          <w:trHeight w:val="260" w:hRule="atLeast"/>
        </w:trPr>
        <w:tc>
          <w:tcPr>
            <w:gridSpan w:val="4"/>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                                         2003-2004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                                        COLONES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8" w:val="single"/>
              <w:left w:color="000000" w:space="0" w:sz="8" w:val="single"/>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MIN</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MAX</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Tipo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80%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296 727</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505 205</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Tipo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237 382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404 164</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Tipo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48%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178 036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303 123</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Tipo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370 909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631 506</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Tipo 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120%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445 090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757 807</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Laboratorio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180 000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220 000</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C.F.H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 82 500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 82 500</w:t>
            </w:r>
            <w:r w:rsidDel="00000000" w:rsidR="00000000" w:rsidRPr="00000000">
              <w:rPr>
                <w:rtl w:val="0"/>
              </w:rPr>
            </w:r>
          </w:p>
        </w:tc>
      </w:tr>
    </w:tbl>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i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Sesión Extraordinaria No. 2344, Artículo 1, del 8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120" w:before="12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840" w:hanging="240"/>
        <w:jc w:val="both"/>
        <w:rPr>
          <w:rFonts w:ascii="Arial" w:cs="Arial" w:eastAsia="Arial" w:hAnsi="Arial"/>
          <w:i w:val="0"/>
          <w:color w:val="000000"/>
          <w:sz w:val="20"/>
          <w:szCs w:val="20"/>
        </w:rPr>
      </w:pPr>
      <w:r w:rsidDel="00000000" w:rsidR="00000000" w:rsidRPr="00000000">
        <w:rPr>
          <w:i w:val="0"/>
          <w:color w:val="000000"/>
          <w:sz w:val="20"/>
          <w:szCs w:val="20"/>
          <w:vertAlign w:val="baseline"/>
          <w:rtl w:val="0"/>
        </w:rPr>
        <w:t xml:space="preserve">Solicitar a la Administración ajustar la tabla anterior con base en las cargas sociales y  salario escolar.</w:t>
      </w:r>
      <w:r w:rsidDel="00000000" w:rsidR="00000000" w:rsidRPr="00000000">
        <w:rPr>
          <w:rtl w:val="0"/>
        </w:rPr>
      </w:r>
    </w:p>
    <w:p w:rsidR="00000000" w:rsidDel="00000000" w:rsidP="00000000" w:rsidRDefault="00000000" w:rsidRPr="00000000">
      <w:pPr>
        <w:ind w:left="840" w:hanging="240"/>
        <w:contextualSpacing w:val="0"/>
        <w:jc w:val="both"/>
      </w:pPr>
      <w:r w:rsidDel="00000000" w:rsidR="00000000" w:rsidRPr="00000000">
        <w:rPr>
          <w:rtl w:val="0"/>
        </w:rPr>
      </w:r>
    </w:p>
    <w:p w:rsidR="00000000" w:rsidDel="00000000" w:rsidP="00000000" w:rsidRDefault="00000000" w:rsidRPr="00000000">
      <w:pPr>
        <w:numPr>
          <w:ilvl w:val="0"/>
          <w:numId w:val="2"/>
        </w:numPr>
        <w:ind w:left="840" w:hanging="240"/>
        <w:jc w:val="both"/>
        <w:rPr>
          <w:rFonts w:ascii="Arial" w:cs="Arial" w:eastAsia="Arial" w:hAnsi="Arial"/>
          <w:i w:val="0"/>
          <w:sz w:val="20"/>
          <w:szCs w:val="20"/>
        </w:rPr>
      </w:pPr>
      <w:r w:rsidDel="00000000" w:rsidR="00000000" w:rsidRPr="00000000">
        <w:rPr>
          <w:i w:val="0"/>
          <w:sz w:val="20"/>
          <w:szCs w:val="20"/>
          <w:vertAlign w:val="baseline"/>
          <w:rtl w:val="0"/>
        </w:rPr>
        <w:t xml:space="preserve">Definir que para la contratación de docentes que impartan cursos de verano cuando la contratación es exclusiva para esta tarea, la misma se hará por un período de ocho semanas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5280.0" w:type="dxa"/>
        <w:jc w:val="left"/>
        <w:tblInd w:w="18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2520"/>
        <w:tblGridChange w:id="0">
          <w:tblGrid>
            <w:gridCol w:w="2760"/>
            <w:gridCol w:w="2520"/>
          </w:tblGrid>
        </w:tblGridChange>
      </w:tblGrid>
      <w:tr>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Curso Tipo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49% de TC</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Curso Tipo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40% de TC</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0"/>
                <w:i w:val="0"/>
                <w:sz w:val="20"/>
                <w:szCs w:val="20"/>
                <w:vertAlign w:val="baseline"/>
                <w:rtl w:val="0"/>
              </w:rPr>
              <w:t xml:space="preserve">Curso Tipo 3</w:t>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30% de TC</w:t>
            </w:r>
            <w:r w:rsidDel="00000000" w:rsidR="00000000" w:rsidRPr="00000000">
              <w:rPr>
                <w:rtl w:val="0"/>
              </w:rPr>
            </w:r>
          </w:p>
        </w:tc>
      </w:tr>
    </w:tbl>
    <w:p w:rsidR="00000000" w:rsidDel="00000000" w:rsidP="00000000" w:rsidRDefault="00000000" w:rsidRPr="00000000">
      <w:pPr>
        <w:spacing w:after="120" w:before="120" w:line="240" w:lineRule="auto"/>
        <w:ind w:left="840" w:firstLine="0"/>
        <w:contextualSpacing w:val="0"/>
        <w:jc w:val="both"/>
      </w:pPr>
      <w:r w:rsidDel="00000000" w:rsidR="00000000" w:rsidRPr="00000000">
        <w:rPr>
          <w:rFonts w:ascii="Arial" w:cs="Arial" w:eastAsia="Arial" w:hAnsi="Arial"/>
          <w:b w:val="0"/>
          <w:i w:val="0"/>
          <w:sz w:val="20"/>
          <w:szCs w:val="20"/>
          <w:vertAlign w:val="baseline"/>
          <w:rtl w:val="0"/>
        </w:rPr>
        <w:t xml:space="preserve">Para este pago, se establece el valor inferior del intervalo por tipo de curso de la tabla anterior.”</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right="-60" w:hanging="357"/>
        <w:jc w:val="both"/>
        <w:rPr>
          <w:rFonts w:ascii="Arial" w:cs="Arial" w:eastAsia="Arial" w:hAnsi="Arial"/>
        </w:rPr>
      </w:pPr>
      <w:r w:rsidDel="00000000" w:rsidR="00000000" w:rsidRPr="00000000">
        <w:rPr>
          <w:i w:val="0"/>
          <w:sz w:val="22"/>
          <w:szCs w:val="22"/>
          <w:vertAlign w:val="baseline"/>
          <w:rtl w:val="0"/>
        </w:rPr>
        <w:t xml:space="preserve">El Consejo Institucional recibió el memorando ViDa-195-2004, suscrito por el Dr. Luis Gerardo Meza, Vicerrector de Docencia, dirigido al MSc. Eugenio Trejos, Presidente del Consejo Institucional, con fecha 27 de febrero del 2004, en el cual se solicita aclarar el significado preciso de la siguiente oración:  “Para ese pago, se establece el valor inferior por tipo de curso de la tabla anterior, la cual consta en el punto f del acuerdo del Consejo Institucional de la Sesión No. 2323, Artículo 20, del 06 de noviembre del 2003.  Además, la Vicerrectoría de Docencia considera que es posible eliminar tal frase dando en consecuencia un significado claro al inciso f del acuerdo señalado” .</w:t>
      </w:r>
      <w:r w:rsidDel="00000000" w:rsidR="00000000" w:rsidRPr="00000000">
        <w:rPr>
          <w:rtl w:val="0"/>
        </w:rPr>
      </w:r>
    </w:p>
    <w:p w:rsidR="00000000" w:rsidDel="00000000" w:rsidP="00000000" w:rsidRDefault="00000000" w:rsidRPr="00000000">
      <w:pPr>
        <w:tabs>
          <w:tab w:val="left" w:pos="3686"/>
        </w:tabs>
        <w:ind w:left="-100" w:firstLine="10.999999999999996"/>
        <w:contextualSpacing w:val="0"/>
        <w:jc w:val="both"/>
      </w:pPr>
      <w:r w:rsidDel="00000000" w:rsidR="00000000" w:rsidRPr="00000000">
        <w:rPr>
          <w:rtl w:val="0"/>
        </w:rPr>
      </w:r>
    </w:p>
    <w:p w:rsidR="00000000" w:rsidDel="00000000" w:rsidP="00000000" w:rsidRDefault="00000000" w:rsidRPr="00000000">
      <w:pPr>
        <w:tabs>
          <w:tab w:val="left" w:pos="3686"/>
        </w:tabs>
        <w:ind w:left="-100" w:firstLine="10.999999999999996"/>
        <w:contextualSpacing w:val="0"/>
        <w:jc w:val="both"/>
      </w:pPr>
      <w:r w:rsidDel="00000000" w:rsidR="00000000" w:rsidRPr="00000000">
        <w:rPr>
          <w:b w:val="1"/>
          <w:i w:val="0"/>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3686"/>
        </w:tabs>
        <w:ind w:left="720" w:firstLine="10.999999999999943"/>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700"/>
        </w:tabs>
        <w:spacing w:after="0" w:before="0" w:line="240" w:lineRule="auto"/>
        <w:ind w:left="360" w:right="40" w:hanging="360"/>
        <w:jc w:val="both"/>
        <w:rPr>
          <w:rFonts w:ascii="Arial" w:cs="Arial" w:eastAsia="Arial" w:hAnsi="Arial"/>
          <w:sz w:val="22"/>
          <w:szCs w:val="22"/>
        </w:rPr>
      </w:pPr>
      <w:r w:rsidDel="00000000" w:rsidR="00000000" w:rsidRPr="00000000">
        <w:rPr>
          <w:rFonts w:ascii="Arial" w:cs="Arial" w:eastAsia="Arial" w:hAnsi="Arial"/>
          <w:b w:val="0"/>
          <w:i w:val="0"/>
          <w:sz w:val="22"/>
          <w:szCs w:val="22"/>
          <w:vertAlign w:val="baseline"/>
          <w:rtl w:val="0"/>
        </w:rPr>
        <w:t xml:space="preserve">Modificar el inciso f) del acuerdo tomado por el Consejo Institucional en Sesión        No. 2323, Artículo 20, del 6 de noviembre del 2003 “Mecanismo de pago para Cursos de Verano 2003-2004”, para que se lea de la siguiente manera:</w:t>
      </w:r>
    </w:p>
    <w:p w:rsidR="00000000" w:rsidDel="00000000" w:rsidP="00000000" w:rsidRDefault="00000000" w:rsidRPr="00000000">
      <w:pPr>
        <w:ind w:left="720" w:hanging="240"/>
        <w:contextualSpacing w:val="0"/>
        <w:jc w:val="both"/>
      </w:pPr>
      <w:r w:rsidDel="00000000" w:rsidR="00000000" w:rsidRPr="00000000">
        <w:rPr>
          <w:rtl w:val="0"/>
        </w:rPr>
      </w:r>
    </w:p>
    <w:p w:rsidR="00000000" w:rsidDel="00000000" w:rsidP="00000000" w:rsidRDefault="00000000" w:rsidRPr="00000000">
      <w:pPr>
        <w:ind w:left="720" w:hanging="240"/>
        <w:contextualSpacing w:val="0"/>
        <w:jc w:val="both"/>
      </w:pPr>
      <w:r w:rsidDel="00000000" w:rsidR="00000000" w:rsidRPr="00000000">
        <w:rPr>
          <w:i w:val="0"/>
          <w:sz w:val="20"/>
          <w:szCs w:val="20"/>
          <w:vertAlign w:val="baseline"/>
          <w:rtl w:val="0"/>
        </w:rPr>
        <w:t xml:space="preserve">“…</w:t>
      </w:r>
      <w:r w:rsidDel="00000000" w:rsidR="00000000" w:rsidRPr="00000000">
        <w:rPr>
          <w:rtl w:val="0"/>
        </w:rPr>
      </w:r>
    </w:p>
    <w:p w:rsidR="00000000" w:rsidDel="00000000" w:rsidP="00000000" w:rsidRDefault="00000000" w:rsidRPr="00000000">
      <w:pPr>
        <w:ind w:left="720" w:hanging="240"/>
        <w:contextualSpacing w:val="0"/>
        <w:jc w:val="both"/>
      </w:pPr>
      <w:r w:rsidDel="00000000" w:rsidR="00000000" w:rsidRPr="00000000">
        <w:rPr>
          <w:i w:val="0"/>
          <w:sz w:val="20"/>
          <w:szCs w:val="20"/>
          <w:vertAlign w:val="baseline"/>
          <w:rtl w:val="0"/>
        </w:rPr>
        <w:t xml:space="preserve">f.</w:t>
        <w:tab/>
        <w:t xml:space="preserve">Definir que para la contratación de docentes que impartan cursos de verano cuando la contratación es exclusiva para esta tarea, la misma se hará por un período de ocho semanas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5280.0" w:type="dxa"/>
        <w:jc w:val="left"/>
        <w:tblInd w:w="18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2520"/>
        <w:tblGridChange w:id="0">
          <w:tblGrid>
            <w:gridCol w:w="2760"/>
            <w:gridCol w:w="2520"/>
          </w:tblGrid>
        </w:tblGridChange>
      </w:tblGrid>
      <w:tr>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Curso Tipo 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49% de TC</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Curso Tipo 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40% de TC</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Curso Tipo 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0"/>
                <w:sz w:val="20"/>
                <w:szCs w:val="20"/>
                <w:vertAlign w:val="baseline"/>
                <w:rtl w:val="0"/>
              </w:rPr>
              <w:t xml:space="preserve">30% de TC</w:t>
            </w:r>
            <w:r w:rsidDel="00000000" w:rsidR="00000000" w:rsidRPr="00000000">
              <w:rPr>
                <w:rtl w:val="0"/>
              </w:rPr>
            </w:r>
          </w:p>
        </w:tc>
      </w:tr>
    </w:tbl>
    <w:p w:rsidR="00000000" w:rsidDel="00000000" w:rsidP="00000000" w:rsidRDefault="00000000" w:rsidRPr="00000000">
      <w:pPr>
        <w:spacing w:after="120" w:before="120" w:line="240" w:lineRule="auto"/>
        <w:ind w:left="720" w:right="320" w:firstLine="0"/>
        <w:contextualSpacing w:val="0"/>
        <w:jc w:val="both"/>
      </w:pPr>
      <w:r w:rsidDel="00000000" w:rsidR="00000000" w:rsidRPr="00000000">
        <w:rPr>
          <w:rFonts w:ascii="Arial" w:cs="Arial" w:eastAsia="Arial" w:hAnsi="Arial"/>
          <w:b w:val="0"/>
          <w:i w:val="0"/>
          <w:color w:val="000000"/>
          <w:sz w:val="22"/>
          <w:szCs w:val="22"/>
          <w:vertAlign w:val="baseline"/>
          <w:rtl w:val="0"/>
        </w:rPr>
        <w:t xml:space="preserve">Se establece como pago mínimo el valor inferior del intervalo por tipo de curso de la tabla del inciso d.”</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Sesión Extraordinaria No. 2344, Artículo 1, del 8 de marzo del 2004</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Página 3</w:t>
      </w:r>
      <w:r w:rsidDel="00000000" w:rsidR="00000000" w:rsidRPr="00000000">
        <w:rPr>
          <w:rtl w:val="0"/>
        </w:rPr>
      </w:r>
    </w:p>
    <w:p w:rsidR="00000000" w:rsidDel="00000000" w:rsidP="00000000" w:rsidRDefault="00000000" w:rsidRPr="00000000">
      <w:pPr>
        <w:spacing w:after="120" w:before="120" w:lineRule="auto"/>
        <w:ind w:left="720" w:right="32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700"/>
        </w:tabs>
        <w:spacing w:after="0" w:before="0" w:line="240" w:lineRule="auto"/>
        <w:ind w:left="360" w:right="40" w:hanging="360"/>
        <w:jc w:val="both"/>
        <w:rPr>
          <w:rFonts w:ascii="Arial" w:cs="Arial" w:eastAsia="Arial" w:hAnsi="Arial"/>
          <w:color w:val="000000"/>
          <w:sz w:val="22"/>
          <w:szCs w:val="22"/>
        </w:rPr>
      </w:pPr>
      <w:r w:rsidDel="00000000" w:rsidR="00000000" w:rsidRPr="00000000">
        <w:rPr>
          <w:rFonts w:ascii="Arial" w:cs="Arial" w:eastAsia="Arial" w:hAnsi="Arial"/>
          <w:b w:val="0"/>
          <w:i w:val="0"/>
          <w:color w:val="000000"/>
          <w:sz w:val="22"/>
          <w:szCs w:val="22"/>
          <w:vertAlign w:val="baseline"/>
          <w:rtl w:val="0"/>
        </w:rPr>
        <w:t xml:space="preserve">Comunicar.  </w:t>
      </w:r>
      <w:r w:rsidDel="00000000" w:rsidR="00000000" w:rsidRPr="00000000">
        <w:rPr>
          <w:rFonts w:ascii="Arial" w:cs="Arial" w:eastAsia="Arial" w:hAnsi="Arial"/>
          <w:b w:val="1"/>
          <w:i w:val="0"/>
          <w:color w:val="000000"/>
          <w:sz w:val="22"/>
          <w:szCs w:val="22"/>
          <w:vertAlign w:val="baseline"/>
          <w:rtl w:val="0"/>
        </w:rPr>
        <w:t xml:space="preserve">ACUERDO FIRME </w:t>
      </w:r>
    </w:p>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BSS/gfm</w:t>
      </w:r>
      <w:r w:rsidDel="00000000" w:rsidR="00000000" w:rsidRPr="00000000">
        <w:rPr>
          <w:rtl w:val="0"/>
        </w:rPr>
      </w:r>
    </w:p>
    <w:tbl>
      <w:tblPr>
        <w:tblStyle w:val="Table5"/>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left" w:pos="-700"/>
        </w:tabs>
        <w:spacing w:after="0" w:before="0" w:line="240" w:lineRule="auto"/>
        <w:ind w:right="40"/>
        <w:contextualSpacing w:val="0"/>
        <w:jc w:val="both"/>
      </w:pPr>
      <w:r w:rsidDel="00000000" w:rsidR="00000000" w:rsidRPr="00000000">
        <w:rPr>
          <w:rtl w:val="0"/>
        </w:rPr>
      </w:r>
    </w:p>
    <w:sectPr>
      <w:headerReference r:id="rId5" w:type="default"/>
      <w:pgSz w:h="15842" w:w="12242"/>
      <w:pgMar w:bottom="1418" w:top="1418"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Times New Roman" w:cs="Times New Roman" w:eastAsia="Times New Roman" w:hAnsi="Times New Roman"/>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60" w:firstLine="0"/>
      </w:pPr>
      <w:rPr>
        <w:b w:val="1"/>
        <w:i w:val="0"/>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2">
    <w:lvl w:ilvl="0">
      <w:start w:val="5"/>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4"/>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