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spacing w:after="0" w:before="0" w:line="240" w:lineRule="auto"/>
        <w:ind w:right="51"/>
        <w:contextualSpacing w:val="0"/>
        <w:jc w:val="right"/>
      </w:pPr>
      <w:r w:rsidDel="00000000" w:rsidR="00000000" w:rsidRPr="00000000">
        <w:rPr>
          <w:rFonts w:ascii="Arial" w:cs="Arial" w:eastAsia="Arial" w:hAnsi="Arial"/>
          <w:b w:val="1"/>
          <w:i w:val="0"/>
          <w:sz w:val="20"/>
          <w:szCs w:val="20"/>
          <w:vertAlign w:val="baseline"/>
          <w:rtl w:val="0"/>
        </w:rPr>
        <w:t xml:space="preserve">SCI-195-2004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18 de marzo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w:t>
            </w:r>
            <w:r w:rsidDel="00000000" w:rsidR="00000000" w:rsidRPr="00000000">
              <w:rPr>
                <w:rtl w:val="0"/>
              </w:rPr>
            </w:r>
          </w:p>
        </w:tc>
        <w:tc>
          <w:tcPr/>
          <w:p w:rsidR="00000000" w:rsidDel="00000000" w:rsidP="00000000" w:rsidRDefault="00000000" w:rsidRPr="00000000">
            <w:pPr>
              <w:tabs>
                <w:tab w:val="left" w:pos="2400"/>
              </w:tabs>
              <w:spacing w:after="0" w:before="0" w:line="240" w:lineRule="auto"/>
              <w:ind w:right="51"/>
              <w:contextualSpacing w:val="0"/>
            </w:pPr>
            <w:r w:rsidDel="00000000" w:rsidR="00000000" w:rsidRPr="00000000">
              <w:rPr>
                <w:rFonts w:ascii="Arial" w:cs="Arial" w:eastAsia="Arial" w:hAnsi="Arial"/>
                <w:b w:val="1"/>
                <w:i w:val="0"/>
                <w:sz w:val="20"/>
                <w:szCs w:val="20"/>
                <w:vertAlign w:val="baseline"/>
                <w:rtl w:val="0"/>
              </w:rPr>
              <w:t xml:space="preserve">RECTORÍA</w:t>
              <w:tab/>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1"/>
                <w:i w:val="0"/>
                <w:sz w:val="20"/>
                <w:szCs w:val="20"/>
                <w:vertAlign w:val="baseline"/>
                <w:rtl w:val="0"/>
              </w:rPr>
              <w:t xml:space="preserve">Dr. Luis Gerardo Meza C., Vicerrector de Docencia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1"/>
                <w:i w:val="0"/>
                <w:sz w:val="20"/>
                <w:szCs w:val="20"/>
                <w:vertAlign w:val="baseline"/>
                <w:rtl w:val="0"/>
              </w:rPr>
              <w:t xml:space="preserve">D.I. Olga Sánchez B, Directora de la Escuela de Diseño Industrial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1"/>
                <w:i w:val="0"/>
                <w:sz w:val="20"/>
                <w:szCs w:val="20"/>
                <w:vertAlign w:val="baseline"/>
                <w:rtl w:val="0"/>
              </w:rPr>
              <w:t xml:space="preserve">MBA. José Miguel Solano S., Director del Departamento de Recursos Humanos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ind w:right="51"/>
              <w:contextualSpacing w:val="0"/>
            </w:pPr>
            <w:r w:rsidDel="00000000" w:rsidR="00000000" w:rsidRPr="00000000">
              <w:rPr>
                <w:rFonts w:ascii="Arial" w:cs="Arial" w:eastAsia="Arial" w:hAnsi="Arial"/>
                <w:b w:val="0"/>
                <w:i w:val="0"/>
                <w:sz w:val="20"/>
                <w:szCs w:val="20"/>
                <w:vertAlign w:val="baseline"/>
                <w:rtl w:val="0"/>
              </w:rPr>
              <w:t xml:space="preserve">Licda. Bertalía Sánchez S., Directora Ejecutiva de la Secretaría del Consejo Institucional</w:t>
            </w:r>
            <w:r w:rsidDel="00000000" w:rsidR="00000000" w:rsidRPr="00000000">
              <w:rPr>
                <w:rFonts w:ascii="Arial" w:cs="Arial" w:eastAsia="Arial" w:hAnsi="Arial"/>
                <w:b w:val="1"/>
                <w:i w:val="0"/>
                <w:sz w:val="20"/>
                <w:szCs w:val="20"/>
                <w:vertAlign w:val="baseline"/>
                <w:rtl w:val="0"/>
              </w:rPr>
              <w:t xml:space="preserve">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No. 2346, Artículo 12, del 18 de marzo del 2004.  Ratificación de nombramiento de Vicerrectora de Docencia a.i.</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ind w:right="51"/>
        <w:contextualSpacing w:val="0"/>
        <w:jc w:val="both"/>
      </w:pPr>
      <w:r w:rsidDel="00000000" w:rsidR="00000000" w:rsidRPr="00000000">
        <w:rPr>
          <w:rFonts w:ascii="Arial" w:cs="Arial" w:eastAsia="Arial" w:hAnsi="Arial"/>
          <w:b w:val="0"/>
          <w:i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i w:val="0"/>
          <w:sz w:val="22"/>
          <w:szCs w:val="22"/>
          <w:vertAlign w:val="baseline"/>
          <w:rtl w:val="0"/>
        </w:rPr>
        <w:t xml:space="preserve">El Consejo Institucional en la Sesión No. 2346, Artículo 11, del 18 de marzo del 2004, autorizó la participación del Dr. Luis Gerardo Meza Cascante, Vicerrector de Docencia, en la LXXI Sesión Ordinaria del Consejo Superior Universitario Centroamericano (CSUCA), que se celebrará los días 25 de 26 de marzo del 2004, en la Universidad de Belice, Ciudad de Belice.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i w:val="0"/>
          <w:sz w:val="22"/>
          <w:szCs w:val="22"/>
          <w:vertAlign w:val="baseline"/>
          <w:rtl w:val="0"/>
        </w:rPr>
        <w:t xml:space="preserve">Se recibió Oficio ViDa-261-2004, del Dr. Luis Gerardo Meza Cascante, Vicerrector de Docencia, dirigido al MSc. Eugenio Trejos B., Presidente del Consejo Institucional, con fecha 16 de marzo del 2004, en el que solicita el nombramiento de la D.I., Olga Sánchez Brenes, Directora de la Escuela de Diseño Industrial, como Vicerrectora de Docencia ai., del 24 al 26 de marzo, ambas fechas inclusive, período en que el titular de este cargo estará fuera del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1985"/>
        </w:tabs>
        <w:contextualSpacing w:val="0"/>
        <w:jc w:val="both"/>
      </w:pPr>
      <w:r w:rsidDel="00000000" w:rsidR="00000000" w:rsidRPr="00000000">
        <w:rPr>
          <w:b w:val="1"/>
          <w:i w:val="0"/>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993" w:hanging="426"/>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pPr>
      <w:r w:rsidDel="00000000" w:rsidR="00000000" w:rsidRPr="00000000">
        <w:rPr>
          <w:i w:val="0"/>
          <w:sz w:val="22"/>
          <w:szCs w:val="22"/>
          <w:vertAlign w:val="baseline"/>
          <w:rtl w:val="0"/>
        </w:rPr>
        <w:t xml:space="preserve">Ratificar el nombramiento de la Bach. Olga Sánchez Brenes, Directora de la Escuela de Diseño Industrial, como Vicerrectora de  Docencia a.i., del 24 al 26 de marzo del 2004 inclusive, fecha en que el titular de este cargo estará participando en la LXXI Sesión Ordinaria del Consejo Superior Universitario Centroamericano (CSUCA), a celebrarse los días 25 y 26 de marzo del 2004, en Belice.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2"/>
        </w:numPr>
        <w:ind w:left="360" w:right="51" w:hanging="360"/>
        <w:jc w:val="both"/>
        <w:rPr/>
      </w:pPr>
      <w:r w:rsidDel="00000000" w:rsidR="00000000" w:rsidRPr="00000000">
        <w:rPr>
          <w:i w:val="0"/>
          <w:sz w:val="22"/>
          <w:szCs w:val="22"/>
          <w:vertAlign w:val="baseline"/>
          <w:rtl w:val="0"/>
        </w:rPr>
        <w:t xml:space="preserve">Comunicar.  </w:t>
      </w:r>
      <w:r w:rsidDel="00000000" w:rsidR="00000000" w:rsidRPr="00000000">
        <w:rPr>
          <w:b w:val="1"/>
          <w:i w:val="0"/>
          <w:sz w:val="22"/>
          <w:szCs w:val="22"/>
          <w:vertAlign w:val="baseline"/>
          <w:rtl w:val="0"/>
        </w:rPr>
        <w:t xml:space="preserve">ACUERDO FIRME</w:t>
      </w:r>
      <w:r w:rsidDel="00000000" w:rsidR="00000000" w:rsidRPr="00000000">
        <w:rPr>
          <w:i w:val="0"/>
          <w:sz w:val="22"/>
          <w:szCs w:val="22"/>
          <w:vertAlign w:val="baseline"/>
          <w:rtl w:val="0"/>
        </w:rPr>
        <w:t xml:space="preserve"> </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 </w:t>
      </w:r>
      <w:r w:rsidDel="00000000" w:rsidR="00000000" w:rsidRPr="00000000">
        <w:rPr>
          <w:i w:val="1"/>
          <w:vertAlign w:val="baseline"/>
          <w:rtl w:val="0"/>
        </w:rPr>
        <w:t xml:space="preserve">BSS/gfm</w:t>
      </w:r>
      <w:r w:rsidDel="00000000" w:rsidR="00000000" w:rsidRPr="00000000">
        <w:rPr>
          <w:rtl w:val="0"/>
        </w:rPr>
      </w:r>
    </w:p>
    <w:tbl>
      <w:tblPr>
        <w:tblStyle w:val="Table2"/>
        <w:bidi w:val="0"/>
        <w:tblW w:w="9500.0" w:type="dxa"/>
        <w:jc w:val="left"/>
        <w:tblInd w:w="-70.0" w:type="dxa"/>
        <w:tblLayout w:type="fixed"/>
        <w:tblLook w:val="0000"/>
      </w:tblPr>
      <w:tblGrid>
        <w:gridCol w:w="4750"/>
        <w:gridCol w:w="4750"/>
        <w:tblGridChange w:id="0">
          <w:tblGrid>
            <w:gridCol w:w="4750"/>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b w:val="1"/>
                <w:i w:val="0"/>
                <w:sz w:val="18"/>
                <w:szCs w:val="18"/>
                <w:vertAlign w:val="baseline"/>
                <w:rtl w:val="0"/>
              </w:rPr>
              <w:t xml:space="preserve">c.   Secretaría del Consejo Institucional </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ind w:left="284" w:right="567" w:firstLine="0"/>
              <w:contextualSpacing w:val="0"/>
            </w:pPr>
            <w:r w:rsidDel="00000000" w:rsidR="00000000" w:rsidRPr="00000000">
              <w:rPr>
                <w:b w:val="1"/>
                <w:i w:val="0"/>
                <w:sz w:val="18"/>
                <w:szCs w:val="18"/>
                <w:vertAlign w:val="baseline"/>
                <w:rtl w:val="0"/>
              </w:rPr>
              <w:t xml:space="preserve">Auditoría Interna</w:t>
            </w: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67" w:firstLine="0"/>
              <w:contextualSpacing w:val="0"/>
            </w:pPr>
            <w:r w:rsidDel="00000000" w:rsidR="00000000" w:rsidRPr="00000000">
              <w:rPr>
                <w:b w:val="1"/>
                <w:i w:val="0"/>
                <w:sz w:val="18"/>
                <w:szCs w:val="18"/>
                <w:vertAlign w:val="baseline"/>
                <w:rtl w:val="0"/>
              </w:rPr>
              <w:t xml:space="preserve">Asesoría Legal </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b w:val="1"/>
                <w:i w:val="0"/>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b w:val="1"/>
                <w:i w:val="0"/>
                <w:sz w:val="18"/>
                <w:szCs w:val="18"/>
                <w:vertAlign w:val="baseline"/>
                <w:rtl w:val="0"/>
              </w:rPr>
              <w:t xml:space="preserve">Vicerrectoría de Administración </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b w:val="1"/>
                <w:i w:val="0"/>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b w:val="1"/>
                <w:i w:val="0"/>
                <w:sz w:val="18"/>
                <w:szCs w:val="18"/>
                <w:vertAlign w:val="baseline"/>
                <w:rtl w:val="0"/>
              </w:rPr>
              <w:t xml:space="preserve">VIE</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b w:val="1"/>
                <w:i w:val="0"/>
                <w:sz w:val="18"/>
                <w:szCs w:val="18"/>
                <w:vertAlign w:val="baseline"/>
                <w:rtl w:val="0"/>
              </w:rPr>
              <w:t xml:space="preserve">Departamento Financiero Contable </w:t>
            </w:r>
            <w:r w:rsidDel="00000000" w:rsidR="00000000" w:rsidRPr="00000000">
              <w:rPr>
                <w:rtl w:val="0"/>
              </w:rPr>
            </w:r>
          </w:p>
        </w:tc>
        <w:tc>
          <w:tcPr/>
          <w:p w:rsidR="00000000" w:rsidDel="00000000" w:rsidP="00000000" w:rsidRDefault="00000000" w:rsidRPr="00000000">
            <w:pPr>
              <w:ind w:left="284" w:right="51" w:firstLine="0"/>
              <w:contextualSpacing w:val="0"/>
            </w:pPr>
            <w:r w:rsidDel="00000000" w:rsidR="00000000" w:rsidRPr="00000000">
              <w:rPr>
                <w:b w:val="1"/>
                <w:i w:val="0"/>
                <w:sz w:val="18"/>
                <w:szCs w:val="18"/>
                <w:vertAlign w:val="baseline"/>
                <w:rtl w:val="0"/>
              </w:rPr>
              <w:t xml:space="preserve">Unidad de Estudios y Remuneraciones </w:t>
            </w:r>
            <w:r w:rsidDel="00000000" w:rsidR="00000000" w:rsidRPr="00000000">
              <w:rPr>
                <w:rtl w:val="0"/>
              </w:rPr>
            </w:r>
          </w:p>
        </w:tc>
      </w:tr>
    </w:tbl>
    <w:p w:rsidR="00000000" w:rsidDel="00000000" w:rsidP="00000000" w:rsidRDefault="00000000" w:rsidRPr="00000000">
      <w:pPr>
        <w:ind w:left="360" w:hanging="360"/>
        <w:contextualSpacing w:val="0"/>
        <w:jc w:val="both"/>
      </w:pPr>
      <w:r w:rsidDel="00000000" w:rsidR="00000000" w:rsidRPr="00000000">
        <w:rPr>
          <w:rtl w:val="0"/>
        </w:rPr>
      </w:r>
    </w:p>
    <w:sectPr>
      <w:headerReference r:id="rId5" w:type="first"/>
      <w:pgSz w:h="15842" w:w="12242"/>
      <w:pgMar w:bottom="1258" w:top="1418"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