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SCI-287-2004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29 de abril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RECTORÍA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Licda. Ana Isabel Solano B., MBA., Directora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2353, Artículo 12, del 29 de abril del 2004.  Modificación Externa No. 01-2004</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le transcribo el acuerdo citado en la referencia.  Este acuerdo   dice:</w:t>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El Consejo Institucional, recibió oficio VAD–274-2003, con fecha 23 de abril del 2004, suscrito por el MBA. José Rafael Hidalgo, Vicerrector de Administración, dirigido al Dr. Juan Fernando Álvarez, Presidente a.i. del Consejo Institucional, adjuntando la Modificación Externa No. 01-2004.</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Comisión de Planificación y Administración, en la reunión del 26 de abril del 2004, según consta en la minuta 75-03, analizó la Modificación Externa No. 01-2004, e indicó algunas observaciones a fin de que, previo a elevar el asunto al Consejo Institucional, fueran atendidas.  Asimismo, procedió solicitando el informe respectivo a la Oficina de Planificación Institucional y se recibió observaciones verbales de la responsable del área de Presupuesto de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recibió Oficio PAO-OPI-041-2004, con fecha 26 de abril del 2004, suscrito por el Ing. Max Buck, Director de la Oficina de Planificación Institucional, dirigido al MSc. Eugenio Trejos, Presidente del Consejo Institucional, en el cual remite pronunciamiento sobre la Modificación Externa No. 1-2004, indicando que no afecta el Plan Anual Operativo 2004, puesto que refuerza los recursos económicos del presupuesto asignado al cumplimiento de los Objetivos Específicos y Metas planteadas en dicho Plan.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2353, Artículo 12, del 29 de abril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la Modificación Externa No. 01-2004, la cual refuerza la subpartida de Prestaciones Legales y Cursos Intensivos, por un monto de 177.910.90 miles de colones, según documento adjunto.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Análisis y Presupuesto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5840" w:w="12240"/>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68" w:firstLine="708"/>
      </w:pPr>
      <w:rPr>
        <w:rFonts w:ascii="Arial" w:cs="Arial" w:eastAsia="Arial" w:hAnsi="Arial"/>
        <w:b w:val="1"/>
        <w:i w:val="0"/>
        <w:sz w:val="20"/>
        <w:szCs w:val="20"/>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