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SCI-449-2004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28 de junio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Extraordinaria No. 2366, Artículo 2, del 28 de junio del 2004.  Modificación Interna No. 02-2004</w:t>
            </w: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El Consejo Institucional recibió memorando VAD-437-2004, con fecha 14 de junio del 2004, suscrito por el MBA. José Rafael Hidalgo, Vicerrector de Administración, dirigido al Ing. Rafael Gutiérrez, Coordinador de la Comisión de Planificación y Administración, adjuntado la Modificación Interna No. 02-2004.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 La Comisión de Planificación y Administración en su reunión celebrada el 21 de junio del 2004, según consta en la Minuta 83-2004, analizó la Modificación Interna No. 02-2004.  En dicha reunión la Comisión acordó solicitar los respectivos informes a la Auditoría Interna, Oficina de Planificación Institucional y enviar un memorando al MBA. José Rafael Hidalgo, Vicerrector de Administración, solicitando aclarar algunas dudas surgidas en el análisis de esta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Secretaría del Consejo Institucional recibió memorando PAO-OPI-073-2004, con fecha 23 de junio del 2004, suscrito por el Ing. Max Buck, Director de la Oficina de Planificación Institucional, dirigido al Ing. Rafael Gutiérrez, Coordinador de la Comisión de Planificación y Administración, en el cual emite pronunciamiento a la Modificación Interna No. 02-2004, indicando que la misma no afecta el plan y que para dar un trámite efectivo a esta modificación, el Consejo Institucional deberá aprobarla vía excepción, en razón de que la Modificación No. 07, disminuye una partida institucional “Electricidad”.</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Secretaría del Consejo Institucional recibió memorando AUDI-127-2004, con fecha 23 de junio del 2004, suscrito por el Lic. Isidro Álvarez Salazar, Auditor Interno, dirigido al Ing. Rafael Gutiérrez, Coordinador de la Comisión de Planificación y Administración, en el cual se remiten las observaciones a la solicitud de Modificación Interna No. 02-2004 y solicita informar a la Auditoría Interna, en un plazo no mayor a diez días hábiles, las acciones tomadas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Extraordinaria No. 2366, Artículo 2, del 28 de junio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El Consejo Institucional recibió el memorando VAD-473-2004, suscrito por el MBA. José Rafael Hidalgo, Vicerrector de Administración, dirigido al Ing. Rafael Gutiérrez, Coordinador de la Comisión de Planificación y Administración, con fecha 23 de junio del 2004, adjuntando nota DFC-639-2004, emitida por el Lic. Elías Calderón, Director del Departamento Financiero Contable, en el cual subsana el documento de la Modificación Interna No. 02-2004, según las observaciones hechas tanto por la Comisión de Planificación como por la Auditoría Interna. </w:t>
      </w:r>
      <w:r w:rsidDel="00000000" w:rsidR="00000000" w:rsidRPr="00000000">
        <w:rPr>
          <w:rtl w:val="0"/>
        </w:rPr>
      </w:r>
    </w:p>
    <w:p w:rsidR="00000000" w:rsidDel="00000000" w:rsidP="00000000" w:rsidRDefault="00000000" w:rsidRPr="00000000">
      <w:pPr>
        <w:ind w:left="567" w:right="618" w:firstLine="0"/>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28 de junio del 2004, según consta en la Minuta 84-2004, analizó en conjunto con funcionarios de la Vicerrectoría de Administración y la Auditoría Interna la Modificación Interna No. 02-2004, los informes sobre la misma emitidos por la Auditoría Interna y la Oficina de Planificación Institucional,  determinándose que dicha modificación es razonable, por lo tanto se acuerda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02-2004, por un monto de 11.822,00 miles de colones (once mil ochocientos veintidós miles de colones), desglosada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160.0" w:type="dxa"/>
        <w:jc w:val="left"/>
        <w:tblInd w:w="240.0" w:type="dxa"/>
        <w:tblLayout w:type="fixed"/>
        <w:tblLook w:val="0000"/>
      </w:tblPr>
      <w:tblGrid>
        <w:gridCol w:w="4642"/>
        <w:gridCol w:w="1718"/>
        <w:gridCol w:w="1800"/>
        <w:tblGridChange w:id="0">
          <w:tblGrid>
            <w:gridCol w:w="4642"/>
            <w:gridCol w:w="1718"/>
            <w:gridCol w:w="1800"/>
          </w:tblGrid>
        </w:tblGridChange>
      </w:tblGrid>
      <w:tr>
        <w:tc>
          <w:tcPr>
            <w:tcBorders>
              <w:top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Detalle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Origen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(miles de colones)</w:t>
            </w:r>
          </w:p>
        </w:tc>
        <w:tc>
          <w:tcPr>
            <w:tcBorders>
              <w:top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Aplicación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(miles de colones)</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tcBorders>
              <w:top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Servicios No Personales</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Honorarios, Consultorías y Serv. Contr.</w:t>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Fonts w:ascii="Arial" w:cs="Arial" w:eastAsia="Arial" w:hAnsi="Arial"/>
                <w:b w:val="0"/>
                <w:sz w:val="22"/>
                <w:szCs w:val="22"/>
                <w:vertAlign w:val="baseline"/>
                <w:rtl w:val="0"/>
              </w:rPr>
              <w:t xml:space="preserve">775.0</w:t>
            </w:r>
          </w:p>
        </w:tc>
      </w:tr>
      <w:tr>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11,252.0</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Materiales y Suministros</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5,447.0</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Maquinaria y Equipo</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Equipos Varios</w:t>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Fonts w:ascii="Arial" w:cs="Arial" w:eastAsia="Arial" w:hAnsi="Arial"/>
                <w:b w:val="0"/>
                <w:sz w:val="22"/>
                <w:szCs w:val="22"/>
                <w:vertAlign w:val="baseline"/>
                <w:rtl w:val="0"/>
              </w:rPr>
              <w:t xml:space="preserve">370.0</w:t>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Equipo y Mobiliario de Computación</w:t>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Fonts w:ascii="Arial" w:cs="Arial" w:eastAsia="Arial" w:hAnsi="Arial"/>
                <w:b w:val="0"/>
                <w:sz w:val="22"/>
                <w:szCs w:val="22"/>
                <w:vertAlign w:val="baseline"/>
                <w:rtl w:val="0"/>
              </w:rPr>
              <w:t xml:space="preserve">200.0</w:t>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Transferencias Corrientes</w:t>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Becas Funcionarios</w:t>
            </w:r>
          </w:p>
        </w:tc>
        <w:tc>
          <w:tcPr/>
          <w:p w:rsidR="00000000" w:rsidDel="00000000" w:rsidP="00000000" w:rsidRDefault="00000000" w:rsidRPr="00000000">
            <w:pPr>
              <w:spacing w:after="0" w:before="0" w:line="240" w:lineRule="auto"/>
              <w:ind w:left="180" w:firstLine="0"/>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ind w:left="180" w:firstLine="0"/>
              <w:contextualSpacing w:val="0"/>
              <w:jc w:val="right"/>
            </w:pPr>
            <w:r w:rsidDel="00000000" w:rsidR="00000000" w:rsidRPr="00000000">
              <w:rPr>
                <w:rFonts w:ascii="Arial" w:cs="Arial" w:eastAsia="Arial" w:hAnsi="Arial"/>
                <w:b w:val="0"/>
                <w:sz w:val="22"/>
                <w:szCs w:val="22"/>
                <w:vertAlign w:val="baseline"/>
                <w:rtl w:val="0"/>
              </w:rPr>
              <w:t xml:space="preserve">3,000.0</w:t>
            </w:r>
          </w:p>
        </w:tc>
      </w:tr>
      <w:tr>
        <w:tc>
          <w:tcPr>
            <w:tcBorders>
              <w:bottom w:color="000000" w:space="0" w:sz="4" w:val="single"/>
            </w:tcBorders>
          </w:tcPr>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Arial" w:cs="Arial" w:eastAsia="Arial" w:hAnsi="Arial"/>
                <w:b w:val="0"/>
                <w:sz w:val="22"/>
                <w:szCs w:val="22"/>
                <w:vertAlign w:val="baseline"/>
                <w:rtl w:val="0"/>
              </w:rPr>
              <w:t xml:space="preserve">Becas Estudiantiles</w:t>
            </w:r>
          </w:p>
          <w:p w:rsidR="00000000" w:rsidDel="00000000" w:rsidP="00000000" w:rsidRDefault="00000000" w:rsidRPr="00000000">
            <w:pPr>
              <w:spacing w:after="0" w:before="0" w:line="240" w:lineRule="auto"/>
              <w:ind w:left="180" w:firstLine="0"/>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ind w:left="180" w:firstLine="0"/>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ind w:left="180" w:firstLine="0"/>
              <w:contextualSpacing w:val="0"/>
              <w:jc w:val="right"/>
            </w:pPr>
            <w:r w:rsidDel="00000000" w:rsidR="00000000" w:rsidRPr="00000000">
              <w:rPr>
                <w:rFonts w:ascii="Arial" w:cs="Arial" w:eastAsia="Arial" w:hAnsi="Arial"/>
                <w:b w:val="0"/>
                <w:sz w:val="22"/>
                <w:szCs w:val="22"/>
                <w:vertAlign w:val="baseline"/>
                <w:rtl w:val="0"/>
              </w:rPr>
              <w:t xml:space="preserve">2,600.0</w:t>
            </w:r>
          </w:p>
        </w:tc>
      </w:tr>
      <w:tr>
        <w:trPr>
          <w:trHeight w:val="560" w:hRule="atLeast"/>
        </w:trPr>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Sumas iguales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11,822.0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11,822.0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Extraordinaria No. 2366, Artículo 2, del 28 de junio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No. 26, por vía excepción al apartado C.4 de los “Lineamientos para la Aplicación de Modificaciones Internas y Externas”, respecto a que ninguna  partida institucional puede utilizarse para financiar gastos de operación...”; para lo cual mediante el mecanismo Presupuesto Extraordinario o Modificación Externa, se restituirán los recursos presupuestarios a la partida institucional de la Vicerrectoría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No. 34, por vía excepción al apartado C.1, inciso g, de los “Lineamientos para la Aplicación de Modificaciones Internas y Externas”, respecto a las modificaciones en la partida de maquinaria y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No. 37, por vía excepción al apartado C.2 de los “Lineamientos para la Aplicación de Modificaciones Internas y Externas”, específicamente el inciso a. con respecto a la partidas sujetas a modificación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Vicerrectoría de Administración atender las observaciones planteadas en el Informe AUDI/AS-020-2004, suscrito por Lic. Isidro Álvarez Salazar, Auditor Interno, e informar oportunamente a esa instancia, las acciones tomadas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Unidad de Análisis Financiero y Presupuesto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2" w:w="12242"/>
      <w:pgMar w:bottom="1985" w:top="1985"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