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SCI-208-2006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20 de abril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RECTORÍA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 Elías Calderón O., Director del Departamento Financiero-Contable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2460, Artículo 9B, del 20 de abril del 2006.  Solicitud de informe del comportamiento de la Ejecución Presupuestaria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le transcribo el acuerdo citado en la referencia.  Este acuerdo   dice:</w:t>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7 de abril del 2006, recibió el memorando DFC-522-2006, suscrito por el Lic. Elías Calderón O., Director del Departamento Financiero Contable, en el cual indica que de acuerdo con la Circular No. 10428 de la Contraloría General de la República en el Capítulo II, indica que:  “Los informes de Ejecución deben presentarse quince días hábiles posteriores al vencimiento del trimestre…”, esto es, como máximo el día 26 de abril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7 de abril del 2006, recibió la visita del Lic. Elías Calderón O., Director del Departamento Financiero Contable y del Lic. Jhonny Masís S., Coordinador de la Unidad de Análisis Financiero y Presupuesto, quienes se refirieron al Informe de Ejecución Presupuestaria al 31 de marzo del 2006, indicando la necesidad de que el mismo fuera aprobado antes del 26 de abril del presente año, según los plazos establecidos por la Contraloría General de la República.  En esta reunión se comprometieron a remitir el Informe citado el día martes 18 de abril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18 de abril del 2006, recibió el memorando VAD-231-06, suscrito por el MBA. José Rafael Hidalgo R., Vicerrector de Administración, dirigido al MSc. Eugenio Trejos B., Presidente del Consejo Institucional, en el cual remite para el trámite correspondiente Informe de Ejecución Presupuestaria al 31 de marzo del 2006.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2460, Artículo 9B, del 20 de abril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Administración que con base en el Informe de Ejecución Presupuestaria al 31 de marzo del 2006, estructure un informe sobre el comportamiento del gasto desde el punto de vista estratégico, con el propósito de agilizar los análisis de dichos informes en el pleno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Análisis y Presupuesto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