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SCI-303-2006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25 de mayo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RECTORÍA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 Carlos Badilla Corrales, Coordinador de la Comisión Permanente de Estatuto Orgánico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Dr. Luis Enrique Pereira R., Miembro de la Comisión Permanente de Estatuto Orgánico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 Warner Chaves V., Presidente Directorio de la Asamblea Institucional Representativa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Secretaría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No. 2466, Artículo 7, del 25 de mayo del 2006.  Designación de dos representantes de la Comisión Permanente de Estatuto Orgánico para que integren la Comisión de Análisis que dictaminará sobre el Proyecto de Reforma al Estatuto Orgánico (Artículos 6, 7, 8, 9, 18, 93 y 94) relativo a la organización y funciones de la “Auditoría Interna”; de acuerdo a lo dispuesto por el Artículo 34 de la Ley General de Control Interno.</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Asamblea Institucional Representativa en la Sesión Ordinaria No. AIR-63-06, realizada el día 29 de marzo del 2006, aprobó dar procedencia  a la propuesta base titulada </w:t>
      </w:r>
      <w:r w:rsidDel="00000000" w:rsidR="00000000" w:rsidRPr="00000000">
        <w:rPr>
          <w:rFonts w:ascii="Arial" w:cs="Arial" w:eastAsia="Arial" w:hAnsi="Arial"/>
          <w:i w:val="1"/>
          <w:sz w:val="22"/>
          <w:szCs w:val="22"/>
          <w:vertAlign w:val="baseline"/>
          <w:rtl w:val="0"/>
        </w:rPr>
        <w:t xml:space="preserve">“Proyecto de Reforma al Estatuto Orgánico (Artículos 6, 7, 8, 9, 18, 93 y 94) relativo a la organización y funciones de la “Auditoría Interna”; de acuerdo a lo dispuesto por el Artículo 34 de la Ley General de Control Interno”</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 acuerdo con el Artículo 6, inciso b. del Reglamento de la Asamblea Institucional Representativa, en caso de aprobarse la procedencia de una reforma o interpretación del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memorando DAIR-024-06, con fecha 09 de mayo del 2006, suscrito por el Ing. Warner Chaves, Presidente del Directorio de la Asamblea Institucional Representativa, dirigido a la Licda. Bertalía Sánchez S., Directora Ejecutiva de la Secretaría del Consejo Institucional, en el cual transcribe el acuerdo de la Sesión DAIR-129-06, realizada el 03 de abril del 2006, mediante el cual solicita al Consejo Institucional</w:t>
      </w:r>
      <w:r w:rsidDel="00000000" w:rsidR="00000000" w:rsidRPr="00000000">
        <w:rPr>
          <w:rFonts w:ascii="Arial" w:cs="Arial" w:eastAsia="Arial" w:hAnsi="Arial"/>
          <w:i w:val="1"/>
          <w:sz w:val="22"/>
          <w:szCs w:val="22"/>
          <w:vertAlign w:val="baseline"/>
          <w:rtl w:val="0"/>
        </w:rPr>
        <w:t xml:space="preserve"> “nombrar dos miembros de la Comisión Permanente de Estatuto Orgánico del Consejo Institucional para que formen parte de la citada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No. 2466, Artículo 7, del 25 de mayo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left" w:pos="1418"/>
        </w:tabs>
        <w:ind w:left="426" w:hanging="426"/>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00"/>
        </w:tabs>
        <w:ind w:left="400" w:hanging="400"/>
        <w:jc w:val="both"/>
        <w:rPr/>
      </w:pPr>
      <w:r w:rsidDel="00000000" w:rsidR="00000000" w:rsidRPr="00000000">
        <w:rPr>
          <w:rFonts w:ascii="Arial" w:cs="Arial" w:eastAsia="Arial" w:hAnsi="Arial"/>
          <w:sz w:val="22"/>
          <w:szCs w:val="22"/>
          <w:vertAlign w:val="baseline"/>
          <w:rtl w:val="0"/>
        </w:rPr>
        <w:t xml:space="preserve">Designar al señor Carlos</w:t>
      </w:r>
      <w:r w:rsidDel="00000000" w:rsidR="00000000" w:rsidRPr="00000000">
        <w:rPr>
          <w:rFonts w:ascii="Arial" w:cs="Arial" w:eastAsia="Arial" w:hAnsi="Arial"/>
          <w:color w:val="000000"/>
          <w:sz w:val="22"/>
          <w:szCs w:val="22"/>
          <w:vertAlign w:val="baseline"/>
          <w:rtl w:val="0"/>
        </w:rPr>
        <w:t xml:space="preserve"> Badilla Corrales y al señor Luis Enrique Pereira Rieger, </w:t>
      </w:r>
      <w:r w:rsidDel="00000000" w:rsidR="00000000" w:rsidRPr="00000000">
        <w:rPr>
          <w:rFonts w:ascii="Arial" w:cs="Arial" w:eastAsia="Arial" w:hAnsi="Arial"/>
          <w:sz w:val="22"/>
          <w:szCs w:val="22"/>
          <w:vertAlign w:val="baseline"/>
          <w:rtl w:val="0"/>
        </w:rPr>
        <w:t xml:space="preserve">como representantes de la Comisión Permanente de Estatuto Orgánico para que formen parte de la Comisión de Análisis que dictaminará sobre el “Proyecto de Reforma al Estatuto Orgánico (Artículos 6, 7, 8, 9, 18, 93 y 94) relativo a la organización y funciones de la “Auditoría Interna”; de acuerdo a lo dispuesto por el Artículo 34 de la Ley General de Control Interno”.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tabs>
          <w:tab w:val="left" w:pos="400"/>
        </w:tabs>
        <w:ind w:left="400" w:hanging="40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tbl>
      <w:tblPr>
        <w:tblStyle w:val="Table2"/>
        <w:bidi w:val="0"/>
        <w:tblW w:w="8370.0" w:type="dxa"/>
        <w:jc w:val="left"/>
        <w:tblInd w:w="-70.0" w:type="dxa"/>
        <w:tblLayout w:type="fixed"/>
        <w:tblLook w:val="0000"/>
      </w:tblPr>
      <w:tblGrid>
        <w:gridCol w:w="4750"/>
        <w:gridCol w:w="3620"/>
        <w:tblGridChange w:id="0">
          <w:tblGrid>
            <w:gridCol w:w="4750"/>
            <w:gridCol w:w="362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      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969"/>
          <w:tab w:val="left" w:pos="5670"/>
        </w:tabs>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sectPr>
      <w:headerReference r:id="rId5" w:type="default"/>
      <w:pgSz w:h="15842" w:w="12242"/>
      <w:pgMar w:bottom="1418"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5924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5924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74" w:firstLine="714"/>
      </w:pPr>
      <w:rPr>
        <w:rFonts w:ascii="Arial" w:cs="Arial" w:eastAsia="Arial" w:hAnsi="Arial"/>
        <w:b w:val="0"/>
        <w:i w:val="1"/>
        <w:sz w:val="20"/>
        <w:szCs w:val="20"/>
        <w:vertAlign w:val="baseline"/>
      </w:rPr>
    </w:lvl>
    <w:lvl w:ilvl="2">
      <w:start w:val="1"/>
      <w:numFmt w:val="lowerRoman"/>
      <w:lvlText w:val="%3."/>
      <w:lvlJc w:val="right"/>
      <w:pPr>
        <w:ind w:left="1794" w:firstLine="1614"/>
      </w:pPr>
      <w:rPr>
        <w:vertAlign w:val="baseline"/>
      </w:rPr>
    </w:lvl>
    <w:lvl w:ilvl="3">
      <w:start w:val="1"/>
      <w:numFmt w:val="decimal"/>
      <w:lvlText w:val="%4."/>
      <w:lvlJc w:val="left"/>
      <w:pPr>
        <w:ind w:left="2514" w:firstLine="2154"/>
      </w:pPr>
      <w:rPr>
        <w:vertAlign w:val="baseline"/>
      </w:rPr>
    </w:lvl>
    <w:lvl w:ilvl="4">
      <w:start w:val="1"/>
      <w:numFmt w:val="lowerLetter"/>
      <w:lvlText w:val="%5."/>
      <w:lvlJc w:val="left"/>
      <w:pPr>
        <w:ind w:left="3234" w:firstLine="2874"/>
      </w:pPr>
      <w:rPr>
        <w:vertAlign w:val="baseline"/>
      </w:rPr>
    </w:lvl>
    <w:lvl w:ilvl="5">
      <w:start w:val="1"/>
      <w:numFmt w:val="lowerRoman"/>
      <w:lvlText w:val="%6."/>
      <w:lvlJc w:val="right"/>
      <w:pPr>
        <w:ind w:left="3954" w:firstLine="3774"/>
      </w:pPr>
      <w:rPr>
        <w:vertAlign w:val="baseline"/>
      </w:rPr>
    </w:lvl>
    <w:lvl w:ilvl="6">
      <w:start w:val="1"/>
      <w:numFmt w:val="decimal"/>
      <w:lvlText w:val="%7."/>
      <w:lvlJc w:val="left"/>
      <w:pPr>
        <w:ind w:left="4674" w:firstLine="4314"/>
      </w:pPr>
      <w:rPr>
        <w:vertAlign w:val="baseline"/>
      </w:rPr>
    </w:lvl>
    <w:lvl w:ilvl="7">
      <w:start w:val="1"/>
      <w:numFmt w:val="lowerLetter"/>
      <w:lvlText w:val="%8."/>
      <w:lvlJc w:val="left"/>
      <w:pPr>
        <w:ind w:left="5394" w:firstLine="5034"/>
      </w:pPr>
      <w:rPr>
        <w:vertAlign w:val="baseline"/>
      </w:rPr>
    </w:lvl>
    <w:lvl w:ilvl="8">
      <w:start w:val="1"/>
      <w:numFmt w:val="lowerRoman"/>
      <w:lvlText w:val="%9."/>
      <w:lvlJc w:val="right"/>
      <w:pPr>
        <w:ind w:left="6114" w:firstLine="5934"/>
      </w:pPr>
      <w:rPr>
        <w:vertAlign w:val="baseline"/>
      </w:rPr>
    </w:lvl>
  </w:abstractNum>
  <w:abstractNum w:abstractNumId="2">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