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vertAlign w:val="baseline"/>
          <w:rtl w:val="0"/>
        </w:rPr>
        <w:t xml:space="preserve">SCI-152-2007</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vertAlign w:val="baseline"/>
          <w:rtl w:val="0"/>
        </w:rPr>
        <w:t xml:space="preserve">22 de marzo del 2007</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M.Sc. Eugenio Trejos B., Rector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Ing. Max Buck R., Director de la Oficina de Planificación Institucional</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MBA. José Rafael Hidalgo R., Vicerrector de Administración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Licda. Liliam Marín, Gerente Área de Servicios Sociales,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Dirección de Fiscalización Operativa y Evaluativa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Contraloría General de la República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Licda. Bertalía Sánchez S., Directora Ejecutiva de la Secretaría del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vertAlign w:val="baseline"/>
                <w:rtl w:val="0"/>
              </w:rPr>
              <w:t xml:space="preserve">Sesión Ordinaria No. 2505, Artículo 12, del 22 de marzo del 2007.  Evaluación del Plan Anual Operativo (PAO) al 31 de diciembre del 2006.</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2"/>
          <w:szCs w:val="22"/>
          <w:vertAlign w:val="baseline"/>
          <w:rtl w:val="0"/>
        </w:rPr>
        <w:t xml:space="preserve">Para los fines correspondientes se transcribe el acuerdo citado en la referencia, el cual dice:</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Secretaría del Consejo Institucional, con fecha 23 de febrero del 2007, recibió oficio R-073-06, suscrito por el M.Sc. Eugenio Trejos B., Rector y Presidente del Consejo Institucional, dirigido a la Máster Sonia Barboza F., Coordinadora de la Comisión de Planificación y Administración, en el cual adjunta la Evaluación del Plan Anual Operativo al 31 de diciembre del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Comisión de Planificación y Administración en la reunión celebrada el 23 de febrero del 2007, según consta en la Minuta No. 196-2007, inició el proceso de análisis de la Evaluación del Plan Anual Operativo al 31 de diciembre del 2006 y dispuso solicitar a la Auditoría Interna, emitir el respectivo informe a la Secretaría del Consejo institucional, a la mayor brevedad posible.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Secretaría del Consejo Institucional, recibió con fecha 27 de febrero del 2007, mediante oficio PAO-OPI-024-2007, suscrito por el Ing. Max Buck Rieger, Director de la Oficina de Planificación Institucional, dirigido al M.Sc. Eugenio Trejos, Rector y Presidente del Consejo Institucional, en el cual remite FE DE ERRATAS al documento de Evaluación al Plan Anual Operativo al 31 de diciembre del 2006, con el propósito de corregir algunos errores de forma, para que así sean considerados en el momento de su aprobación.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En la Sesión del Consejo Institucional No. 2502, celebrada el 01 de marzo del 2007, se recibió oficio AUDI-AS-002-2007, con fecha 28 de febrero del 2007, suscrito por el Lic. Isidro Álvarez S., Auditor Interno, dirigido a la Máster Sonia Barboza F., Coordinadora de la Comisión de Planificación y Administración, en el cual remite observaciones a la Evaluación del Plan Anual Operativo (PAO) al 31 de diciembre del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vertAlign w:val="baseline"/>
          <w:rtl w:val="0"/>
        </w:rPr>
        <w:t xml:space="preserve">Sesión Ordinaria No. 2505, Artículo 12, del 22 de marzo del 2007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Comisión de Planificación y Administración en la reunión celebrada el 09 de marzo del 2007, según consta en la Minuta No. 197-2007, finalizó con el proceso de análisis del documento “</w:t>
      </w:r>
      <w:r w:rsidDel="00000000" w:rsidR="00000000" w:rsidRPr="00000000">
        <w:rPr>
          <w:rFonts w:ascii="Arial" w:cs="Arial" w:eastAsia="Arial" w:hAnsi="Arial"/>
          <w:i w:val="1"/>
          <w:sz w:val="22"/>
          <w:szCs w:val="22"/>
          <w:vertAlign w:val="baseline"/>
          <w:rtl w:val="0"/>
        </w:rPr>
        <w:t xml:space="preserve">Evaluación del Plan Anual Operativo al 31 de diciembre del 2006</w:t>
      </w:r>
      <w:r w:rsidDel="00000000" w:rsidR="00000000" w:rsidRPr="00000000">
        <w:rPr>
          <w:rFonts w:ascii="Arial" w:cs="Arial" w:eastAsia="Arial" w:hAnsi="Arial"/>
          <w:sz w:val="22"/>
          <w:szCs w:val="22"/>
          <w:vertAlign w:val="baseline"/>
          <w:rtl w:val="0"/>
        </w:rPr>
        <w:t xml:space="preserve">” y dispuso enviar memorando al señor Rector, solicitándole que en conjunto con los Vicerrectores respectivos y Director de Sede, realice una exposición del tema basada en una serie de aspectos de interés prioritario que sirvan de insumo al Consejo Institucional para conocer los logros alcanzados durante el segundo semestre del 2006.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En la Sesión Ordinaria No. 2505, se recibió Oficio R-157-2007, con fecha 21 de marzo del 2007, suscrito por el M.Sc. Eugenio Trejos B., Rector, dirigido a la Máster Sonia Barboza F., Coordinadora de la Comisión de Planificación y Administración, en respuesta al Oficio SCI-121-2007, en el que se suministra la información adicional solicitada a la Evaluación del Plan Anual Operativo al 31 de diciembre del 2006. Asimismo, se realizó la presentación de la Evaluación, por parte de la M.Sc. Tatiana Fernández e Ing. Max Buck, de la Oficina de Planificación Institucional, con la participación de los señores Gerardo Meza, Vicerrector de Docencia, Rafael Hidalgo, Vicerrector de Administración, Dagoberto Arias, Vicerrector de Investigación y Extensión y la señora Ligia Rivas, Vicerrectora de Vida Estudiantil y Servicios Académicos; quienes se refirieron a la información reflejada en la Evaluación del PAO  al 31 de diciembre del 2006.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Dar por conocida la Evaluación del Plan Anual Operativo al 31 de diciembre del 2006 y remitirla a la Contraloría General de la República.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Solicitar a la Administración, la presentación de la propuesta de indicadores de gestión, a más tardar el 30 de abril del 2007, de manera que sea aplicable en la Evaluación del Plan Anual Operativo al 30 de junio del 2007.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BSS/yz</w:t>
      </w:r>
      <w:r w:rsidDel="00000000" w:rsidR="00000000" w:rsidRPr="00000000">
        <w:rPr>
          <w:rtl w:val="0"/>
        </w:rPr>
      </w:r>
    </w:p>
    <w:tbl>
      <w:tblPr>
        <w:tblStyle w:val="Table2"/>
        <w:bidi w:val="0"/>
        <w:tblW w:w="9500.0" w:type="dxa"/>
        <w:jc w:val="left"/>
        <w:tblInd w:w="-70.0" w:type="dxa"/>
        <w:tblLayout w:type="fixed"/>
        <w:tblLook w:val="0000"/>
      </w:tblPr>
      <w:tblGrid>
        <w:gridCol w:w="4750"/>
        <w:gridCol w:w="4750"/>
        <w:tblGridChange w:id="0">
          <w:tblGrid>
            <w:gridCol w:w="4750"/>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8"/>
                <w:szCs w:val="18"/>
                <w:vertAlign w:val="baseline"/>
                <w:rtl w:val="0"/>
              </w:rPr>
              <w:t xml:space="preserve">      VIESA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Sede Regional San Carlos</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5842" w:w="12242"/>
      <w:pgMar w:bottom="1134" w:top="1134"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5954"/>
      </w:tabs>
      <w:spacing w:before="709" w:lineRule="auto"/>
      <w:contextualSpacing w:val="0"/>
      <w:jc w:val="right"/>
    </w:pPr>
    <w:r w:rsidDel="00000000" w:rsidR="00000000" w:rsidRPr="00000000">
      <w:rPr>
        <w:rFonts w:ascii="Arial" w:cs="Arial" w:eastAsia="Arial" w:hAnsi="Arial"/>
        <w:b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287" w:firstLine="926.9999999999999"/>
      </w:pPr>
      <w:rPr>
        <w:b w:val="1"/>
        <w:i w:val="0"/>
        <w:vertAlign w:val="baseline"/>
      </w:rPr>
    </w:lvl>
    <w:lvl w:ilvl="1">
      <w:start w:val="1"/>
      <w:numFmt w:val="bullet"/>
      <w:lvlText w:val="▪"/>
      <w:lvlJc w:val="left"/>
      <w:pPr>
        <w:ind w:left="2007" w:firstLine="1647"/>
      </w:pPr>
      <w:rPr>
        <w:rFonts w:ascii="Arial" w:cs="Arial" w:eastAsia="Arial" w:hAnsi="Arial"/>
        <w:b w:val="1"/>
        <w:i w:val="0"/>
        <w:vertAlign w:val="baseline"/>
      </w:rPr>
    </w:lvl>
    <w:lvl w:ilvl="2">
      <w:start w:val="1"/>
      <w:numFmt w:val="lowerRoman"/>
      <w:lvlText w:val="%3."/>
      <w:lvlJc w:val="right"/>
      <w:pPr>
        <w:ind w:left="2727" w:firstLine="2547"/>
      </w:pPr>
      <w:rPr>
        <w:vertAlign w:val="baseline"/>
      </w:rPr>
    </w:lvl>
    <w:lvl w:ilvl="3">
      <w:start w:val="1"/>
      <w:numFmt w:val="decimal"/>
      <w:lvlText w:val="%4."/>
      <w:lvlJc w:val="left"/>
      <w:pPr>
        <w:ind w:left="3447" w:firstLine="3087"/>
      </w:pPr>
      <w:rPr>
        <w:vertAlign w:val="baseline"/>
      </w:rPr>
    </w:lvl>
    <w:lvl w:ilvl="4">
      <w:start w:val="1"/>
      <w:numFmt w:val="lowerLetter"/>
      <w:lvlText w:val="%5."/>
      <w:lvlJc w:val="left"/>
      <w:pPr>
        <w:ind w:left="4167" w:firstLine="3807"/>
      </w:pPr>
      <w:rPr>
        <w:vertAlign w:val="baseline"/>
      </w:rPr>
    </w:lvl>
    <w:lvl w:ilvl="5">
      <w:start w:val="1"/>
      <w:numFmt w:val="lowerRoman"/>
      <w:lvlText w:val="%6."/>
      <w:lvlJc w:val="right"/>
      <w:pPr>
        <w:ind w:left="4887" w:firstLine="4707"/>
      </w:pPr>
      <w:rPr>
        <w:vertAlign w:val="baseline"/>
      </w:rPr>
    </w:lvl>
    <w:lvl w:ilvl="6">
      <w:start w:val="1"/>
      <w:numFmt w:val="decimal"/>
      <w:lvlText w:val="%7."/>
      <w:lvlJc w:val="left"/>
      <w:pPr>
        <w:ind w:left="5607" w:firstLine="5247"/>
      </w:pPr>
      <w:rPr>
        <w:vertAlign w:val="baseline"/>
      </w:rPr>
    </w:lvl>
    <w:lvl w:ilvl="7">
      <w:start w:val="1"/>
      <w:numFmt w:val="lowerLetter"/>
      <w:lvlText w:val="%8."/>
      <w:lvlJc w:val="left"/>
      <w:pPr>
        <w:ind w:left="6327" w:firstLine="5967"/>
      </w:pPr>
      <w:rPr>
        <w:vertAlign w:val="baseline"/>
      </w:rPr>
    </w:lvl>
    <w:lvl w:ilvl="8">
      <w:start w:val="1"/>
      <w:numFmt w:val="lowerRoman"/>
      <w:lvlText w:val="%9."/>
      <w:lvlJc w:val="right"/>
      <w:pPr>
        <w:ind w:left="7047" w:firstLine="6867"/>
      </w:pPr>
      <w:rPr>
        <w:vertAlign w:val="baseline"/>
      </w:rPr>
    </w:lvl>
  </w:abstractNum>
  <w:abstractNum w:abstractNumId="2">
    <w:lvl w:ilvl="0">
      <w:start w:val="1"/>
      <w:numFmt w:val="lowerLetter"/>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