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SCI-222-2004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26 de febrero del 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Máster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Mercedes Campos Alpízar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Jefe del Centro de Relaciones para el Fortalecimiento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del Control y la Fiscalización Superiores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540" w:firstLine="0"/>
        <w:contextualSpacing w:val="0"/>
        <w:jc w:val="both"/>
      </w:pPr>
      <w:r w:rsidDel="00000000" w:rsidR="00000000" w:rsidRPr="00000000">
        <w:rPr>
          <w:rFonts w:ascii="Arial" w:cs="Arial" w:eastAsia="Arial" w:hAnsi="Arial"/>
          <w:b w:val="1"/>
          <w:sz w:val="22"/>
          <w:szCs w:val="22"/>
          <w:vertAlign w:val="baseline"/>
          <w:rtl w:val="0"/>
        </w:rPr>
        <w:t xml:space="preserve">REFERENCIA: </w:t>
      </w:r>
      <w:r w:rsidDel="00000000" w:rsidR="00000000" w:rsidRPr="00000000">
        <w:rPr>
          <w:rFonts w:ascii="Arial" w:cs="Arial" w:eastAsia="Arial" w:hAnsi="Arial"/>
          <w:b w:val="1"/>
          <w:sz w:val="20"/>
          <w:szCs w:val="20"/>
          <w:vertAlign w:val="baseline"/>
          <w:rtl w:val="0"/>
        </w:rPr>
        <w:t xml:space="preserve">Prórroga de nombramiento de la Auditora Interna del Instituto Tecnológico de Costa en forma interina</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Estimada señora:</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Ordinaria No. 2342, Artículo 10, celebrada el 26 de febrero del 2004, referente a la  Prórroga de nombramiento de la Auditora Interna del Instituto Tecnológico de Costa en forma interina.  El cual dice:</w:t>
      </w:r>
    </w:p>
    <w:p w:rsidR="00000000" w:rsidDel="00000000" w:rsidP="00000000" w:rsidRDefault="00000000" w:rsidRPr="00000000">
      <w:pPr>
        <w:spacing w:after="0" w:before="0" w:line="240" w:lineRule="auto"/>
        <w:ind w:firstLine="708"/>
        <w:contextualSpacing w:val="0"/>
        <w:jc w:val="both"/>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360"/>
        </w:tabs>
        <w:ind w:left="360" w:hanging="360"/>
        <w:jc w:val="both"/>
        <w:rPr>
          <w:rFonts w:ascii="Arial" w:cs="Arial" w:eastAsia="Arial" w:hAnsi="Arial"/>
          <w:sz w:val="20"/>
          <w:szCs w:val="20"/>
        </w:rPr>
      </w:pPr>
      <w:r w:rsidDel="00000000" w:rsidR="00000000" w:rsidRPr="00000000">
        <w:rPr>
          <w:rFonts w:ascii="Arial" w:cs="Arial" w:eastAsia="Arial" w:hAnsi="Arial"/>
          <w:sz w:val="22"/>
          <w:szCs w:val="22"/>
          <w:vertAlign w:val="baseline"/>
          <w:rtl w:val="0"/>
        </w:rPr>
        <w:t xml:space="preserve">El Consejo Institucional en Sesión Ordinaria No. 2341, Artículo 8, del 19 de febrero del 2004, acordó:  “</w:t>
      </w:r>
      <w:r w:rsidDel="00000000" w:rsidR="00000000" w:rsidRPr="00000000">
        <w:rPr>
          <w:rFonts w:ascii="Arial" w:cs="Arial" w:eastAsia="Arial" w:hAnsi="Arial"/>
          <w:i w:val="1"/>
          <w:sz w:val="20"/>
          <w:szCs w:val="20"/>
          <w:vertAlign w:val="baseline"/>
          <w:rtl w:val="0"/>
        </w:rPr>
        <w:t xml:space="preserve">Solicitar ante la Contraloría General de la República, </w:t>
      </w:r>
      <w:r w:rsidDel="00000000" w:rsidR="00000000" w:rsidRPr="00000000">
        <w:rPr>
          <w:rFonts w:ascii="Arial" w:cs="Arial" w:eastAsia="Arial" w:hAnsi="Arial"/>
          <w:i w:val="1"/>
          <w:color w:val="000000"/>
          <w:sz w:val="20"/>
          <w:szCs w:val="20"/>
          <w:vertAlign w:val="baseline"/>
          <w:rtl w:val="0"/>
        </w:rPr>
        <w:t xml:space="preserve">dispensa para que se autorice una prórroga</w:t>
      </w:r>
      <w:r w:rsidDel="00000000" w:rsidR="00000000" w:rsidRPr="00000000">
        <w:rPr>
          <w:rFonts w:ascii="Arial" w:cs="Arial" w:eastAsia="Arial" w:hAnsi="Arial"/>
          <w:i w:val="1"/>
          <w:sz w:val="20"/>
          <w:szCs w:val="20"/>
          <w:vertAlign w:val="baseline"/>
          <w:rtl w:val="0"/>
        </w:rPr>
        <w:t xml:space="preserve"> del nombramiento interino de la Licda. Adriana Rodríguez Zeledón, como Auditora Interna del Instituto Tecnológico de Costa Rica, hasta la finalización del proceso que se lleva a cabo para el Reclutamiento, Selección y Nombramiento a tiempo indefinido del(la) Auditor(a) Interno(a) del Instituto Tecnológico de Costa Rica</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la fecha no se ha recibido respuesta por parte de la Contraloría General de la República, y en virtud de que a la Licda. Adriana Rodríguez Zeledón se le vence su nombramiento el 29 de febrero del 2004 y el plazo máximo para el nombramiento interino vence el 3 de marzo del 2004, según autorización del Ente Contralor, se dispone la prórroga del nombramiento del 1 al 3 de marzo del 2004.</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6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Sesión No. 2342, Artículo 11, del 26 de febrero del 2004, aprobó la terna del Concurso de Antecedentes Externo RH-262-2003, para el Nombramiento del Auditor/a Interno/a del Instituto Tecnológico de Costa Rica, para ser enviada a la Contraloría General de la República para su análisis y aprobación del proceso.  </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Ampliar el nombramiento interino de la Licda. Adriana Rodríguez Zeledón, como Auditora Interna del Instituto Tecnológico de Costa Rica, del 1 al 3 de marzo del 2004 inclusive.</w:t>
      </w:r>
    </w:p>
    <w:p w:rsidR="00000000" w:rsidDel="00000000" w:rsidP="00000000" w:rsidRDefault="00000000" w:rsidRPr="00000000">
      <w:r w:rsidDel="00000000" w:rsidR="00000000" w:rsidRPr="00000000">
        <w:br w:type="page"/>
      </w:r>
    </w:p>
    <w:p w:rsidR="00000000" w:rsidDel="00000000" w:rsidP="00000000" w:rsidRDefault="00000000" w:rsidRPr="00000000">
      <w:pPr>
        <w:ind w:right="-40"/>
        <w:contextualSpacing w:val="0"/>
        <w:jc w:val="both"/>
      </w:pPr>
      <w:r w:rsidDel="00000000" w:rsidR="00000000" w:rsidRPr="00000000">
        <w:rPr>
          <w:rFonts w:ascii="Arial" w:cs="Arial" w:eastAsia="Arial" w:hAnsi="Arial"/>
          <w:i w:val="1"/>
          <w:sz w:val="18"/>
          <w:szCs w:val="18"/>
          <w:vertAlign w:val="baseline"/>
          <w:rtl w:val="0"/>
        </w:rPr>
        <w:t xml:space="preserve">Máster Mercedes Campos Alpízar Jefe del Centro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de Relaciones para el Fortalecimiento del Control y la Fiscalización Superiores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26 de febrero del 2004</w:t>
      </w:r>
      <w:r w:rsidDel="00000000" w:rsidR="00000000" w:rsidRPr="00000000">
        <w:rPr>
          <w:rtl w:val="0"/>
        </w:rPr>
      </w:r>
    </w:p>
    <w:p w:rsidR="00000000" w:rsidDel="00000000" w:rsidP="00000000" w:rsidRDefault="00000000" w:rsidRPr="00000000">
      <w:pPr>
        <w:keepNext w:val="1"/>
        <w:spacing w:after="0" w:before="0" w:line="240" w:lineRule="auto"/>
        <w:ind w:right="-40"/>
        <w:contextualSpacing w:val="0"/>
        <w:jc w:val="both"/>
      </w:pPr>
      <w:r w:rsidDel="00000000" w:rsidR="00000000" w:rsidRPr="00000000">
        <w:rPr>
          <w:rFonts w:ascii="Times New Roman" w:cs="Times New Roman" w:eastAsia="Times New Roman" w:hAnsi="Times New Roman"/>
          <w:b w:val="0"/>
          <w:i w:val="1"/>
          <w:sz w:val="20"/>
          <w:szCs w:val="20"/>
          <w:vertAlign w:val="baseline"/>
          <w:rtl w:val="0"/>
        </w:rPr>
        <w:t xml:space="preserve">Página 2</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este acuerdo a la Contraloría General de la República.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Atentamente,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MSc. Eugenio Trejos B., Presidente del </w:t>
      </w: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Consejo Institucional </w:t>
      </w: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Instituto Tecnológico de Costa Rica</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ArchivoAcuerdos2004/2342-Contraloría General de la República solicitud de prórroga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2" w:w="12242"/>
      <w:pgMar w:bottom="1701" w:top="1358"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