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SCI-822-2014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Dr. Julio C. Calvo A, Rector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M.Sc. José Andrés Masís B., Director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Oficina de Planificación de la Educación Superior</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Consejo Nacional de Rectores (CONARE) </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MBA. Luis Guillermo Carpio, Presidente del Consejo Universitario</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Universidad Estatal a Distancia (UNED)</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MBA. Milagro Meléndez Ulate, Presidenta Consejo Universitario</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Universidad Nacional (UNA)</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Dr. Jorge Murillo Medrano, Presidente Consejo Universitario</w:t>
            </w:r>
            <w:r w:rsidDel="00000000" w:rsidR="00000000" w:rsidRPr="00000000">
              <w:rPr>
                <w:rtl w:val="0"/>
              </w:rPr>
            </w:r>
          </w:p>
          <w:p w:rsidR="00000000" w:rsidDel="00000000" w:rsidP="00000000" w:rsidRDefault="00000000" w:rsidRPr="00000000">
            <w:pPr>
              <w:ind w:right="99"/>
              <w:contextualSpacing w:val="0"/>
            </w:pPr>
            <w:r w:rsidDel="00000000" w:rsidR="00000000" w:rsidRPr="00000000">
              <w:rPr>
                <w:rFonts w:ascii="Arial" w:cs="Arial" w:eastAsia="Arial" w:hAnsi="Arial"/>
                <w:sz w:val="22"/>
                <w:szCs w:val="22"/>
                <w:vertAlign w:val="baseline"/>
                <w:rtl w:val="0"/>
              </w:rPr>
              <w:t xml:space="preserve">Universidad de Costa Rica (UCR)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22 de octubre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200" w:line="276" w:lineRule="auto"/>
              <w:ind w:left="34" w:hanging="34"/>
              <w:contextualSpacing w:val="0"/>
              <w:jc w:val="both"/>
            </w:pPr>
            <w:r w:rsidDel="00000000" w:rsidR="00000000" w:rsidRPr="00000000">
              <w:rPr>
                <w:rFonts w:ascii="Arial" w:cs="Arial" w:eastAsia="Arial" w:hAnsi="Arial"/>
                <w:b w:val="1"/>
                <w:vertAlign w:val="baseline"/>
                <w:rtl w:val="0"/>
              </w:rPr>
              <w:t xml:space="preserve">Sesión Ordinaria No. 2891 Artículo 7 del 22 de octubre de 2014  Conformación de una Comisión del Consejo Institucional para organizar reunión con los Consejos Universitarios de las universidades públicas, con el fin de analizar los mecanismos que permita contribuir con el apoyo de la “Propuesta de agenda de cooperación y apoyo mutuo”,   aprobada por la Comisión de Enlace “Acuerdo de Presupuesto 2015, en el  CONARE</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el acuerdo del Presupuesto para el año 2015, tomado por la Comisión de Enlace, celebrada en el Consejo Nacional de Rectores,  el 19 de agosto de 2014, el acuerdo Quinto señala lo siguiente: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right="425" w:firstLine="0"/>
        <w:contextualSpacing w:val="0"/>
        <w:jc w:val="both"/>
      </w:pPr>
      <w:r w:rsidDel="00000000" w:rsidR="00000000" w:rsidRPr="00000000">
        <w:rPr>
          <w:rFonts w:ascii="Arial" w:cs="Arial" w:eastAsia="Arial" w:hAnsi="Arial"/>
          <w:i w:val="1"/>
          <w:color w:val="000000"/>
          <w:vertAlign w:val="baseline"/>
          <w:rtl w:val="0"/>
        </w:rPr>
        <w:t xml:space="preserve">“Impulsar un mecanismo integral de cooperación recíproca orientado por los lineamientos establecidos en el documento “Propuesta de agenda de cooperación y apoyo mutuo”, el cual acompaña al presente acuerdo, y se firma en el mismo acto.”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Es de interés del Consejo Institucional favorecer para que el Instituto Tecnológico de Costa Rica, pueda seguir contribuyendo en la atención de temas claves que impacten en el desarrollo social y económico del país.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Que el desarrollo de mecanismos de cooperación recíproca entre el Gobierno de la República y las Instituciones de Educación Superior Universitaria Estatal, se favorece con el apoyo coordinado de las máximas autoridades de las Universidades Estatales.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Organizar una reunión de Consejos Universitarios,  en la fecha y hora a convenir con esas instancias, con el fin de analizar los mecanismos por los cuales estos órganos puedan contribuir para apoyar </w:t>
      </w:r>
      <w:r w:rsidDel="00000000" w:rsidR="00000000" w:rsidRPr="00000000">
        <w:rPr>
          <w:rFonts w:ascii="Arial" w:cs="Arial" w:eastAsia="Arial" w:hAnsi="Arial"/>
          <w:i w:val="1"/>
          <w:color w:val="000000"/>
          <w:vertAlign w:val="baseline"/>
          <w:rtl w:val="0"/>
        </w:rPr>
        <w:t xml:space="preserve">la “Propuesta de agenda de cooperación y apoyo mutuo”</w:t>
      </w:r>
      <w:r w:rsidDel="00000000" w:rsidR="00000000" w:rsidRPr="00000000">
        <w:rPr>
          <w:rFonts w:ascii="Arial" w:cs="Arial" w:eastAsia="Arial" w:hAnsi="Arial"/>
          <w:color w:val="000000"/>
          <w:vertAlign w:val="baseline"/>
          <w:rtl w:val="0"/>
        </w:rPr>
        <w:t xml:space="preserve">, definida en el acuerdo de Presupuesto 2015, de la Comisión de Enlace.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Proponer que se incluya en la agenda de cooperación y apoyo mutuo, la mejora en la eficiencia de la recaudación fiscal.</w:t>
      </w: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Integrar una </w:t>
      </w:r>
      <w:r w:rsidDel="00000000" w:rsidR="00000000" w:rsidRPr="00000000">
        <w:rPr>
          <w:rFonts w:ascii="Arial" w:cs="Arial" w:eastAsia="Arial" w:hAnsi="Arial"/>
          <w:vertAlign w:val="baseline"/>
          <w:rtl w:val="0"/>
        </w:rPr>
        <w:t xml:space="preserve">Comisión</w:t>
      </w:r>
      <w:r w:rsidDel="00000000" w:rsidR="00000000" w:rsidRPr="00000000">
        <w:rPr>
          <w:rFonts w:ascii="Arial" w:cs="Arial" w:eastAsia="Arial" w:hAnsi="Arial"/>
          <w:color w:val="000000"/>
          <w:vertAlign w:val="baseline"/>
          <w:rtl w:val="0"/>
        </w:rPr>
        <w:t xml:space="preserve"> del Consejo Institucional para que coordine la reunión con los Consejos Universitarios de la Universidad de Costa Rica, Universidad Estatal a Distancia y Universidad Nacional y dé seguimiento a los acuerdos convenidos en dicha reunión.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Fonts w:ascii="Arial" w:cs="Arial" w:eastAsia="Arial" w:hAnsi="Arial"/>
          <w:color w:val="000000"/>
          <w:vertAlign w:val="baseline"/>
          <w:rtl w:val="0"/>
        </w:rPr>
        <w:t xml:space="preserve">Esta Comisión estará conformada por las siguientes personas: </w:t>
      </w: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786" w:right="-91" w:hanging="360"/>
        <w:jc w:val="both"/>
        <w:rPr>
          <w:rFonts w:ascii="Arial" w:cs="Arial" w:eastAsia="Arial" w:hAnsi="Arial"/>
          <w:b w:val="0"/>
          <w:color w:val="000000"/>
        </w:rPr>
      </w:pPr>
      <w:r w:rsidDel="00000000" w:rsidR="00000000" w:rsidRPr="00000000">
        <w:rPr>
          <w:rFonts w:ascii="Arial" w:cs="Arial" w:eastAsia="Arial" w:hAnsi="Arial"/>
          <w:color w:val="000000"/>
          <w:vertAlign w:val="baseline"/>
          <w:rtl w:val="0"/>
        </w:rPr>
        <w:t xml:space="preserve">Ing. Jorge Chaves Arce, Coordinador de la Comisión de Asuntos Académicos y Estudiantiles.</w:t>
      </w:r>
      <w:r w:rsidDel="00000000" w:rsidR="00000000" w:rsidRPr="00000000">
        <w:rPr>
          <w:rtl w:val="0"/>
        </w:rPr>
      </w:r>
    </w:p>
    <w:p w:rsidR="00000000" w:rsidDel="00000000" w:rsidP="00000000" w:rsidRDefault="00000000" w:rsidRPr="00000000">
      <w:pPr>
        <w:numPr>
          <w:ilvl w:val="0"/>
          <w:numId w:val="2"/>
        </w:numPr>
        <w:ind w:left="786" w:right="-91" w:hanging="360"/>
        <w:jc w:val="both"/>
        <w:rPr>
          <w:rFonts w:ascii="Arial" w:cs="Arial" w:eastAsia="Arial" w:hAnsi="Arial"/>
          <w:b w:val="0"/>
          <w:color w:val="000000"/>
        </w:rPr>
      </w:pPr>
      <w:r w:rsidDel="00000000" w:rsidR="00000000" w:rsidRPr="00000000">
        <w:rPr>
          <w:rFonts w:ascii="Arial" w:cs="Arial" w:eastAsia="Arial" w:hAnsi="Arial"/>
          <w:color w:val="000000"/>
          <w:vertAlign w:val="baseline"/>
          <w:rtl w:val="0"/>
        </w:rPr>
        <w:t xml:space="preserve">Ing. Alexander Valerín Castro, MSc., Coordinador de la Comisión de Planificación y Administración.</w:t>
      </w:r>
      <w:r w:rsidDel="00000000" w:rsidR="00000000" w:rsidRPr="00000000">
        <w:rPr>
          <w:rtl w:val="0"/>
        </w:rPr>
      </w:r>
    </w:p>
    <w:p w:rsidR="00000000" w:rsidDel="00000000" w:rsidP="00000000" w:rsidRDefault="00000000" w:rsidRPr="00000000">
      <w:pPr>
        <w:numPr>
          <w:ilvl w:val="0"/>
          <w:numId w:val="2"/>
        </w:numPr>
        <w:ind w:left="786" w:right="-91" w:hanging="360"/>
        <w:jc w:val="both"/>
        <w:rPr>
          <w:rFonts w:ascii="Arial" w:cs="Arial" w:eastAsia="Arial" w:hAnsi="Arial"/>
          <w:b w:val="0"/>
          <w:color w:val="000000"/>
        </w:rPr>
      </w:pPr>
      <w:r w:rsidDel="00000000" w:rsidR="00000000" w:rsidRPr="00000000">
        <w:rPr>
          <w:rFonts w:ascii="Arial" w:cs="Arial" w:eastAsia="Arial" w:hAnsi="Arial"/>
          <w:color w:val="000000"/>
          <w:vertAlign w:val="baseline"/>
          <w:rtl w:val="0"/>
        </w:rPr>
        <w:t xml:space="preserve">Lic. William Buckley Buckley, Coordinador de la Comisión de Estatuto Orgánico del ITCR.</w:t>
      </w:r>
      <w:r w:rsidDel="00000000" w:rsidR="00000000" w:rsidRPr="00000000">
        <w:rPr>
          <w:rtl w:val="0"/>
        </w:rPr>
      </w:r>
    </w:p>
    <w:p w:rsidR="00000000" w:rsidDel="00000000" w:rsidP="00000000" w:rsidRDefault="00000000" w:rsidRPr="00000000">
      <w:pPr>
        <w:numPr>
          <w:ilvl w:val="0"/>
          <w:numId w:val="2"/>
        </w:numPr>
        <w:ind w:left="786" w:right="-91" w:hanging="360"/>
        <w:jc w:val="both"/>
        <w:rPr>
          <w:rFonts w:ascii="Arial" w:cs="Arial" w:eastAsia="Arial" w:hAnsi="Arial"/>
          <w:b w:val="0"/>
          <w:color w:val="000000"/>
        </w:rPr>
      </w:pPr>
      <w:r w:rsidDel="00000000" w:rsidR="00000000" w:rsidRPr="00000000">
        <w:rPr>
          <w:rFonts w:ascii="Arial" w:cs="Arial" w:eastAsia="Arial" w:hAnsi="Arial"/>
          <w:color w:val="000000"/>
          <w:vertAlign w:val="baseline"/>
          <w:rtl w:val="0"/>
        </w:rPr>
        <w:t xml:space="preserve">MAE. Bernal Martínez Gutiérrez, Integrante Docente ante el Consejo Institucional.</w:t>
      </w:r>
      <w:r w:rsidDel="00000000" w:rsidR="00000000" w:rsidRPr="00000000">
        <w:rPr>
          <w:rtl w:val="0"/>
        </w:rPr>
      </w:r>
    </w:p>
    <w:p w:rsidR="00000000" w:rsidDel="00000000" w:rsidP="00000000" w:rsidRDefault="00000000" w:rsidRPr="00000000">
      <w:pPr>
        <w:numPr>
          <w:ilvl w:val="0"/>
          <w:numId w:val="2"/>
        </w:numPr>
        <w:ind w:left="786" w:right="-91" w:hanging="360"/>
        <w:jc w:val="both"/>
        <w:rPr>
          <w:rFonts w:ascii="Arial" w:cs="Arial" w:eastAsia="Arial" w:hAnsi="Arial"/>
          <w:b w:val="0"/>
          <w:color w:val="000000"/>
        </w:rPr>
      </w:pPr>
      <w:r w:rsidDel="00000000" w:rsidR="00000000" w:rsidRPr="00000000">
        <w:rPr>
          <w:rFonts w:ascii="Arial" w:cs="Arial" w:eastAsia="Arial" w:hAnsi="Arial"/>
          <w:color w:val="000000"/>
          <w:vertAlign w:val="baseline"/>
          <w:rtl w:val="0"/>
        </w:rPr>
        <w:t xml:space="preserve">Sr. Alonso Brenes Ramírez, Presidente de la FEITEC.</w:t>
      </w:r>
      <w:r w:rsidDel="00000000" w:rsidR="00000000" w:rsidRPr="00000000">
        <w:rPr>
          <w:rtl w:val="0"/>
        </w:rPr>
      </w:r>
    </w:p>
    <w:p w:rsidR="00000000" w:rsidDel="00000000" w:rsidP="00000000" w:rsidRDefault="00000000" w:rsidRPr="00000000">
      <w:pPr>
        <w:numPr>
          <w:ilvl w:val="0"/>
          <w:numId w:val="2"/>
        </w:numPr>
        <w:ind w:left="786" w:right="-91" w:hanging="360"/>
        <w:jc w:val="both"/>
        <w:rPr>
          <w:rFonts w:ascii="Arial" w:cs="Arial" w:eastAsia="Arial" w:hAnsi="Arial"/>
          <w:b w:val="0"/>
          <w:color w:val="000000"/>
        </w:rPr>
      </w:pPr>
      <w:r w:rsidDel="00000000" w:rsidR="00000000" w:rsidRPr="00000000">
        <w:rPr>
          <w:rFonts w:ascii="Arial" w:cs="Arial" w:eastAsia="Arial" w:hAnsi="Arial"/>
          <w:color w:val="000000"/>
          <w:vertAlign w:val="baseline"/>
          <w:rtl w:val="0"/>
        </w:rPr>
        <w:t xml:space="preserve">Licda. Bertalía Sánchez Salas, Directora Ejecutiva de la Secretaría del Consejo Institucional, para que apoye la labor de esta Comisión y la organización de las reuniones con los Consejos Universitarios. </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reunión  C.I.- Consejos Universitarios-CONARE- Apoyar- Propuesta -Cooperación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Interuniversitario de Alajuela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Ing. Jorge Chaves Arce, Coordinador de la Comisión de Asuntos Académicos y Estudiantiles.</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sz w:val="16"/>
                <w:szCs w:val="16"/>
                <w:vertAlign w:val="baseline"/>
                <w:rtl w:val="0"/>
              </w:rPr>
              <w:t xml:space="preserve">Ing. Alexander Valerín Castro, MSc., Coordinador de la Comisión de Planificación y Administración.</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sz w:val="16"/>
                <w:szCs w:val="16"/>
                <w:vertAlign w:val="baseline"/>
                <w:rtl w:val="0"/>
              </w:rPr>
              <w:t xml:space="preserve">Lic. William Buckley Buckley, Coordinador de la Comisión de Estatuto Orgánico del ITCR.</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sz w:val="16"/>
                <w:szCs w:val="16"/>
                <w:vertAlign w:val="baseline"/>
                <w:rtl w:val="0"/>
              </w:rPr>
              <w:t xml:space="preserve">MAE. Bernal Martínez Gutiérrez, Integrante Docente ante el Consejo Institucional.</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sz w:val="16"/>
                <w:szCs w:val="16"/>
                <w:vertAlign w:val="baseline"/>
                <w:rtl w:val="0"/>
              </w:rPr>
              <w:t xml:space="preserve">Sr. Alonso Brenes Ramírez, Presidente de la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bl>
      <w:tblPr>
        <w:tblStyle w:val="Table4"/>
        <w:bidi w:val="0"/>
        <w:tblW w:w="19360.0" w:type="dxa"/>
        <w:jc w:val="left"/>
        <w:tblInd w:w="-108.0" w:type="dxa"/>
        <w:tblLayout w:type="fixed"/>
        <w:tblLook w:val="0000"/>
      </w:tblPr>
      <w:tblGrid>
        <w:gridCol w:w="9680"/>
        <w:gridCol w:w="9680"/>
        <w:tblGridChange w:id="0">
          <w:tblGrid>
            <w:gridCol w:w="9680"/>
            <w:gridCol w:w="9680"/>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222.0" w:type="dxa"/>
              <w:jc w:val="left"/>
              <w:tblLayout w:type="fixed"/>
              <w:tblLook w:val="0000"/>
            </w:tblPr>
            <w:tblGrid>
              <w:gridCol w:w="222"/>
              <w:tblGridChange w:id="0">
                <w:tblGrid>
                  <w:gridCol w:w="222"/>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ACERD9</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2891, Artículo 7, del 22 de octubre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b w:val="1"/>
        <w:strike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786" w:firstLine="425.99999999999994"/>
      </w:pPr>
      <w:rPr>
        <w:sz w:val="24"/>
        <w:szCs w:val="24"/>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