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SCI-555-2016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Paola Vega, Vicerrectora de Investigación y Extensión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de Vida Estudiantil y Servicios Académicos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Roxana Jiménez, Directora Centro Académico de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Director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14 de setiembre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285"/>
              <w:contextualSpacing w:val="0"/>
              <w:jc w:val="both"/>
            </w:pPr>
            <w:r w:rsidDel="00000000" w:rsidR="00000000" w:rsidRPr="00000000">
              <w:rPr>
                <w:rFonts w:ascii="Arial" w:cs="Arial" w:eastAsia="Arial" w:hAnsi="Arial"/>
                <w:b w:val="1"/>
                <w:sz w:val="22"/>
                <w:szCs w:val="22"/>
                <w:vertAlign w:val="baseline"/>
                <w:rtl w:val="0"/>
              </w:rPr>
              <w:t xml:space="preserve">Sesión Ordinaria No. 2989, Artículo 7, del 14 de setiembre de 2016.   </w:t>
            </w:r>
            <w:r w:rsidDel="00000000" w:rsidR="00000000" w:rsidRPr="00000000">
              <w:rPr>
                <w:rtl w:val="0"/>
              </w:rPr>
            </w:r>
          </w:p>
          <w:p w:rsidR="00000000" w:rsidDel="00000000" w:rsidP="00000000" w:rsidRDefault="00000000" w:rsidRPr="00000000">
            <w:pPr>
              <w:ind w:left="34" w:right="134" w:firstLine="0"/>
              <w:contextualSpacing w:val="0"/>
              <w:jc w:val="both"/>
            </w:pPr>
            <w:r w:rsidDel="00000000" w:rsidR="00000000" w:rsidRPr="00000000">
              <w:rPr>
                <w:rFonts w:ascii="Arial" w:cs="Arial" w:eastAsia="Arial" w:hAnsi="Arial"/>
                <w:b w:val="1"/>
                <w:sz w:val="22"/>
                <w:szCs w:val="22"/>
                <w:vertAlign w:val="baseline"/>
                <w:rtl w:val="0"/>
              </w:rPr>
              <w:t xml:space="preserve">Renovación y Reconversión de plazas 2017- Fondos FEES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R-375-2016, con fecha de recibido 20 de abril  de 2016, suscrito por el Dr. Julio Calvo Alvarado, Rector, dirigido al Dr. Bernal Martínez Gutiérrez, Coordinador de la Comisión de Planificación y Administración, en el cual para el trámite correspondiente, remite propuesta de renovación y reconversión de plazas 2017 Fondos FEES.  Adjunta matrices en forma digital donde se muestra el detalle de las funciones y justificaciones por plaza; según la información suministrada por los responsables de los Programas y Sub-programas.  (Anexo 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VIE-367-2016, con fecha de recibido 01 de junio de 2016, suscrito por la Dra. Paola Vega, Vicerrectora de Investigación y Extensión, dirigido al Dr. Julio  Calvo, Rector, con copia al Dr. Bernal Martínez Gutiérrez, Coordinador de la Comisión de Planificación y Administración, en el cual solicita la reconversión de la plaza CT 0188, a Profesional en Administración.   (Anexo 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OPI-331-2016, con fecha de recibido 15 de junio de 2016, suscrito por la MAU. Tatiana Fernández, dirigido al Dr. Bernal Martínez Gutiérrez, Coordinador de la Comisión de Planificación y Administración, en el cual en atención al oficio R-594-2016, donde se comunica el aval del Consejo de Rectoría en la Sesión No. 20-2016, para la modificación de la plaza CT0188, a Profesional en Administración, le solicita hacer el ajuste en el detalle de dicha plaza. Adicionalmente el Consejo de Rectoría en la misma Sesión, avala la modificación de las plazas: CT0164 y CT0166, ambas como Técnico en Administración, adscritas al Centro Académico Limón. Señala que por ser plazas con nombramiento temporal, sí es factible hacer la reconversión de los puestos sin necesidad de realizar un Estudio de Puestos.  (Anexo 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R-650-2016, con fecha de recibido 14 de junio  de 2016, suscrito por el Dr. Julio Calvo Alvarado, Rector, dirigido al Dr. Bernal Martínez Gutiérrez, Coordinador de la Comisión de Planificación y Administración, en el cual solicita información sobre el trámite de las Propuestas de Renovación y Reconversión de plazas 2017 Fondos FEES y la Propuesta de Creación de plazas 2017 financiadas con Fondos FEES y Fondos Específicos remitidas mediante los oficios R-375-2016 y R-397-2016, respectivamente.  (Anexo 4).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Mediante oficio SCI-517-2016 del 31 de agosto de 2016, suscrito por el Dr. Bernal Martínez Gutiérrez, Coordinador de la Comisión de Planificación y Administración, dirigido a la MAU. Tatiana Fernández, Directora de la Oficina de Planificación Institucional, con copia al  Dr. Julio Calvo, Rector, se devuelven las Propuestas de Renovación y Reconversión de plazas 2017 Fondos FEES y la Propuesta de Creación de plazas 2017 financiadas con Fondos FEES y Fondos Específicos, remitidas mediante los oficios R-375-2016 y R-397-2016, respectivamente, con el fin de que envíen una matriz  actualizada.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R-929-2016, con fecha de recibido 1 de setiembre  de 2016, suscrito por el Ing. Luis Paulino Méndez, Rector a.i., dirigido al Dr. Bernal Martínez Gutiérrez, Coordinador de la Comisión de Planificación y Administración, en el cual le informa que el Consejo de Rectoría en Sesión No. 31-2016, Artículo 8, del 29 de agosto del 2016, tomó la decisión de reconvertir las plazas a 12 meses plazo, con  código NT (nombramiento temporal) a CF (cargos fijos), con el objetivo de dar estabilidad laboral a los funcionarios interinos.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Además informa que en respuesta al oficio SCI-517-2016 del 31 de agosto, se remite vía impresa y digital la propuesta final de Renovación y Reconversión de plazas 2017-FEES, que incluye las modificaciones mencionadas anteriormente, además de los cambios en la condición de temporal a permanente y adscritas a las instancias correspondientes, manteniendo el plazo y el costo de las mismas, le solicita sustituir la enviada en el mes de abril en el oficio antes citado.  Anexo 5)</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 La Secretaría del Consejo Institucional, recibe oficio R-937-2016, con fecha de recibido 5 de setiembre  de 2016, suscrito por el Dr. Julio Calvo Alvarado, Rector, dirigido al Dr. Bernal Martínez Gutiérrez, Coordinador de la Comisión de Planificación y Administración, en el cual le indica que con el oficio R-929-2016, del 1 de setiembre  de 2016, se envió la sustitución de la matriz de Reconversión y Renovación de plazas 2017-FEES, sin embargo,  por error involuntario se solicita la reconversión de la plaza NT0115, de profesor, categoría 23, jornada 100% a 12 meses plazo y adscrita a la Escuela de Producción Industrial, siendo lo correcto la NT0135, categoría 12, jornada 100%.  Por lo que remite nuevamente la matriz actualizada para la sustitución correspondiente.  (Anexo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R-968-2016, con fecha de recibido 9 de setiembre de 2016, suscrito por el Dr. Julio Calvo Alvarado, Rector, dirigido al Dr. Bernal Martínez Gutiérrez, Coordinador de la Comisión de Planificación y Administración, en el cual adjunta el cambio para 12 plazas que están adscritas a la Dirección de la Sede Regional, para que estén adscritas a otras dependencias. Señala que las características de las plazas, tales como: puesto, categoría, jornada, plazo y TCE, se mantienen según la propuesta enviada en el oficio OPI-520-2016, del 2 de setiembre de 2016, según el siguiente detalle: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8505.0" w:type="dxa"/>
        <w:jc w:val="left"/>
        <w:tblInd w:w="2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
        <w:gridCol w:w="1322"/>
        <w:gridCol w:w="435"/>
        <w:gridCol w:w="653"/>
        <w:gridCol w:w="558"/>
        <w:gridCol w:w="718"/>
        <w:gridCol w:w="992"/>
        <w:gridCol w:w="2977"/>
        <w:tblGridChange w:id="0">
          <w:tblGrid>
            <w:gridCol w:w="850"/>
            <w:gridCol w:w="1322"/>
            <w:gridCol w:w="435"/>
            <w:gridCol w:w="653"/>
            <w:gridCol w:w="558"/>
            <w:gridCol w:w="718"/>
            <w:gridCol w:w="992"/>
            <w:gridCol w:w="2977"/>
          </w:tblGrid>
        </w:tblGridChange>
      </w:tblGrid>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Cód.</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16"/>
                <w:szCs w:val="16"/>
                <w:vertAlign w:val="baseline"/>
                <w:rtl w:val="0"/>
              </w:rPr>
              <w:t xml:space="preserve">Puesto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Cat.</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Jorn.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Plazo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TCE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Condición</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16"/>
                <w:szCs w:val="16"/>
                <w:vertAlign w:val="baseline"/>
                <w:rtl w:val="0"/>
              </w:rPr>
              <w:t xml:space="preserve">Adscrita a:</w:t>
            </w:r>
            <w:r w:rsidDel="00000000" w:rsidR="00000000" w:rsidRPr="00000000">
              <w:rPr>
                <w:rtl w:val="0"/>
              </w:rPr>
            </w:r>
          </w:p>
        </w:tc>
      </w:tr>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CT0212</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Ciencias Naturales y Exactas</w:t>
            </w:r>
            <w:r w:rsidDel="00000000" w:rsidR="00000000" w:rsidRPr="00000000">
              <w:rPr>
                <w:rtl w:val="0"/>
              </w:rPr>
            </w:r>
          </w:p>
        </w:tc>
      </w:tr>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CT0213</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Ciencias Naturales y Exactas</w:t>
            </w:r>
            <w:r w:rsidDel="00000000" w:rsidR="00000000" w:rsidRPr="00000000">
              <w:rPr>
                <w:rtl w:val="0"/>
              </w:rPr>
            </w:r>
          </w:p>
        </w:tc>
      </w:tr>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CT0214</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Ciencias Naturales y Exactas</w:t>
            </w:r>
            <w:r w:rsidDel="00000000" w:rsidR="00000000" w:rsidRPr="00000000">
              <w:rPr>
                <w:rtl w:val="0"/>
              </w:rPr>
            </w:r>
          </w:p>
        </w:tc>
      </w:tr>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CT0215</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Idiomas y Ciencias Sociales</w:t>
            </w:r>
            <w:r w:rsidDel="00000000" w:rsidR="00000000" w:rsidRPr="00000000">
              <w:rPr>
                <w:rtl w:val="0"/>
              </w:rPr>
            </w:r>
          </w:p>
        </w:tc>
      </w:tr>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CT0216</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Idiomas y Ciencias Sociales</w:t>
            </w:r>
            <w:r w:rsidDel="00000000" w:rsidR="00000000" w:rsidRPr="00000000">
              <w:rPr>
                <w:rtl w:val="0"/>
              </w:rPr>
            </w:r>
          </w:p>
        </w:tc>
      </w:tr>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CT0217</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Idiomas y Ciencias Sociales</w:t>
            </w:r>
            <w:r w:rsidDel="00000000" w:rsidR="00000000" w:rsidRPr="00000000">
              <w:rPr>
                <w:rtl w:val="0"/>
              </w:rPr>
            </w:r>
          </w:p>
        </w:tc>
      </w:tr>
      <w:tr>
        <w:trPr>
          <w:trHeight w:val="3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CT0296</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Idiomas y Ciencias Sociales</w:t>
            </w:r>
            <w:r w:rsidDel="00000000" w:rsidR="00000000" w:rsidRPr="00000000">
              <w:rPr>
                <w:rtl w:val="0"/>
              </w:rPr>
            </w:r>
          </w:p>
        </w:tc>
      </w:tr>
      <w:tr>
        <w:trPr>
          <w:trHeight w:val="2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CT0298</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Ciencias Naturales y Exactas</w:t>
            </w:r>
            <w:r w:rsidDel="00000000" w:rsidR="00000000" w:rsidRPr="00000000">
              <w:rPr>
                <w:rtl w:val="0"/>
              </w:rPr>
            </w:r>
          </w:p>
        </w:tc>
      </w:tr>
      <w:tr>
        <w:trPr>
          <w:trHeight w:val="24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CT0299</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Ciencias Naturales y Exactas</w:t>
            </w:r>
            <w:r w:rsidDel="00000000" w:rsidR="00000000" w:rsidRPr="00000000">
              <w:rPr>
                <w:rtl w:val="0"/>
              </w:rPr>
            </w:r>
          </w:p>
        </w:tc>
      </w:tr>
      <w:tr>
        <w:trPr>
          <w:trHeight w:val="26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CT0300</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Profesor</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Ciencias Naturales y Exactas</w:t>
            </w:r>
            <w:r w:rsidDel="00000000" w:rsidR="00000000" w:rsidRPr="00000000">
              <w:rPr>
                <w:rtl w:val="0"/>
              </w:rPr>
            </w:r>
          </w:p>
        </w:tc>
      </w:tr>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CT0302</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Secretaria (o) Ejecutiva (o) 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Ciencias Naturales y Exactas</w:t>
            </w:r>
            <w:r w:rsidDel="00000000" w:rsidR="00000000" w:rsidRPr="00000000">
              <w:rPr>
                <w:rtl w:val="0"/>
              </w:rPr>
            </w:r>
          </w:p>
        </w:tc>
      </w:tr>
      <w:tr>
        <w:trPr>
          <w:trHeight w:val="2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CT0223</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Técnico Académico (a) Administrativo (a)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Escuela de Ciencias Naturales y Exactas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Por lo anterior, remite nuevamente la matriz actualizada de Renovación y Reconversión de Plazas 2017 para sustitución. (Anexo 7)</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DSC-314-2016, con fecha de recibido 13 de setiembre  de 2016, suscrito por el Dr. Edgardo Vargas, Director Sede Regional San Carlos, dirigido al Dr. Julio Calvo Alvarado, Presidente del Consejo Institucional, con copia a la Comisión de Planificación y Administración, en el cual solicita trasladar las plazas con cargo fijo a las diferentes dependencias.  En el mismo oficio solicita convertir otras plazas de cargo temporal a plazas de cargo fijo y que las mismas se trasladen de la Dirección de Sede a diferentes dependencias de la Sede.  (Anexo 8). </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La Comisión de Planificación y Administración en reunión No. 690-2016, realizada el 05 de setiembre de 2016, recibe a la Ing. Andrea Cavero, Secretaria General de la AFITEC y a la TAE. Kattia Morales, Secretaria de Actas de la AFITEC, quienes solicitaron audiencia a la Comisión para exponer entre otros temas, el tema del personal interino y la necesidad de atender lo dispuesto en el Capítulo 5, artículo 24 de la Segunda Convención Colectiva de Trabajo y sus Reformas.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5" w:hanging="425"/>
        <w:jc w:val="both"/>
        <w:rPr>
          <w:sz w:val="24"/>
          <w:szCs w:val="24"/>
        </w:rPr>
      </w:pPr>
      <w:r w:rsidDel="00000000" w:rsidR="00000000" w:rsidRPr="00000000">
        <w:rPr>
          <w:rFonts w:ascii="Arial" w:cs="Arial" w:eastAsia="Arial" w:hAnsi="Arial"/>
          <w:vertAlign w:val="baseline"/>
          <w:rtl w:val="0"/>
        </w:rPr>
        <w:t xml:space="preserve">La Segunda Convención Colectiva de Trabajo y sus Reformas en su Capítulo 5 sobre las Normas de Administración de Personal artículo 24, reza: </w:t>
      </w:r>
      <w:r w:rsidDel="00000000" w:rsidR="00000000" w:rsidRPr="00000000">
        <w:rPr>
          <w:rtl w:val="0"/>
        </w:rPr>
      </w:r>
    </w:p>
    <w:p w:rsidR="00000000" w:rsidDel="00000000" w:rsidP="00000000" w:rsidRDefault="00000000" w:rsidRPr="00000000">
      <w:pPr>
        <w:spacing w:after="280" w:before="280" w:lineRule="auto"/>
        <w:ind w:left="706"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“El Instituto contratará preferentemente a sus trabajadores mediante el contrato de trabajo por tiempo indefinido. Si el Instituto requiere contratar trabajadores a plazo fijo o por obra determinada, la unidad respectiva deberá obtener previamente la autorización correspondiente, según los procedimientos establecidos, justificando por escrito esa clase de contratación. En tal caso deberá enviarse copia de la justificación a la Junta de Relaciones Laborales.</w:t>
      </w:r>
      <w:r w:rsidDel="00000000" w:rsidR="00000000" w:rsidRPr="00000000">
        <w:rPr>
          <w:rtl w:val="0"/>
        </w:rPr>
      </w:r>
    </w:p>
    <w:p w:rsidR="00000000" w:rsidDel="00000000" w:rsidP="00000000" w:rsidRDefault="00000000" w:rsidRPr="00000000">
      <w:pPr>
        <w:spacing w:after="280" w:before="0" w:lineRule="auto"/>
        <w:ind w:left="706"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Si al momento de conocer la justificación o en cualquier tiempo a solicitud de cualquiera de las partes o del trabajador interesado, la Junta considerara que se trata de una relación laboral a tiempo indefinido, se tendrá como tal. Para todo efecto el no envío de la justificación correspondiente no impide que la Junta conozca y resuelva sobre dichas contrataciones.</w:t>
      </w:r>
      <w:r w:rsidDel="00000000" w:rsidR="00000000" w:rsidRPr="00000000">
        <w:rPr>
          <w:rtl w:val="0"/>
        </w:rPr>
      </w:r>
    </w:p>
    <w:p w:rsidR="00000000" w:rsidDel="00000000" w:rsidP="00000000" w:rsidRDefault="00000000" w:rsidRPr="00000000">
      <w:pPr>
        <w:spacing w:after="280" w:before="0" w:lineRule="auto"/>
        <w:ind w:left="706"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En los casos de docentes y cuando hubiere inopia comprobada, se podrá nombrar por tiempo definido hasta por un semestre.</w:t>
      </w:r>
      <w:r w:rsidDel="00000000" w:rsidR="00000000" w:rsidRPr="00000000">
        <w:rPr>
          <w:rtl w:val="0"/>
        </w:rPr>
      </w:r>
    </w:p>
    <w:p w:rsidR="00000000" w:rsidDel="00000000" w:rsidP="00000000" w:rsidRDefault="00000000" w:rsidRPr="00000000">
      <w:pPr>
        <w:ind w:left="706"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Los docentes que fueran nombrados consecutivamente hasta por 3 semestres en plazas vacantes, salvo que no reúnan algún requisito legal obligatorio, se tendrán por nombrados a tiempo indefinido si la contratación fuera de al menos medio tiempo.”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5"/>
        <w:jc w:val="both"/>
        <w:rPr>
          <w:sz w:val="24"/>
          <w:szCs w:val="24"/>
        </w:rPr>
      </w:pPr>
      <w:r w:rsidDel="00000000" w:rsidR="00000000" w:rsidRPr="00000000">
        <w:rPr>
          <w:rFonts w:ascii="Arial" w:cs="Arial" w:eastAsia="Arial" w:hAnsi="Arial"/>
          <w:vertAlign w:val="baseline"/>
          <w:rtl w:val="0"/>
        </w:rPr>
        <w:t xml:space="preserve">La Comisión de Planificación y Administración en reunión ordinaria No. 692-2016, del 12 de setiembre de 2016, realiza la revisión de la propuesta de Renovación y Reconversión de Plazas – FEES, 2017, en esta reunión recibe al MAE. Humberto Villalta Solano, Vicerrector de Administración, al Ing. Luis Paulino Méndez, Vicerrector de Docencia y a la MAU. Tatiana Fernández, Directora de la Oficina de Planificación Institucional, para el análisis de la propuesta.  En esta reunión se trata el tema del crecimiento del personal interino en la Institución y la necesidad de dar mayor estabilidad al personal que tiene varios años de estar en esa condición.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También se recibió al Dr. Edgardo Vargas, Director de la Sede Regional San Carlos, quien manifestó algunas incongruencias respecto a las plazas descritas en el oficio R-968-2016, por lo tanto se corrigieron de acuerdo a lo manifestado por él. </w:t>
      </w:r>
      <w:r w:rsidDel="00000000" w:rsidR="00000000" w:rsidRPr="00000000">
        <w:rPr>
          <w:rtl w:val="0"/>
        </w:rPr>
      </w:r>
    </w:p>
    <w:p w:rsidR="00000000" w:rsidDel="00000000" w:rsidP="00000000" w:rsidRDefault="00000000" w:rsidRPr="00000000">
      <w:pPr>
        <w:ind w:left="1"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Una vez aclaradas las dudas e incorporados los cambios, se dispone elevar la propuesta al Consejo Institucional.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Aprobar a partir del año 2017 la Renovación y Reconversión  de 231 plazas Fondos FEES, con las características que se describen en el siguiente cuadro:</w:t>
      </w:r>
      <w:r w:rsidDel="00000000" w:rsidR="00000000" w:rsidRPr="00000000">
        <w:rPr>
          <w:rtl w:val="0"/>
        </w:rPr>
      </w:r>
    </w:p>
    <w:p w:rsidR="00000000" w:rsidDel="00000000" w:rsidP="00000000" w:rsidRDefault="00000000" w:rsidRPr="00000000">
      <w:pPr>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before="0" w:lineRule="auto"/>
        <w:ind w:left="426" w:firstLine="0"/>
        <w:contextualSpacing w:val="0"/>
        <w:jc w:val="both"/>
      </w:pPr>
      <w:r w:rsidDel="00000000" w:rsidR="00000000" w:rsidRPr="00000000">
        <w:rPr>
          <w:rtl w:val="0"/>
        </w:rPr>
      </w:r>
    </w:p>
    <w:tbl>
      <w:tblPr>
        <w:tblStyle w:val="Table3"/>
        <w:bidi w:val="0"/>
        <w:tblW w:w="7513.000000000001" w:type="dxa"/>
        <w:jc w:val="center"/>
        <w:tblInd w:w="-70.0" w:type="dxa"/>
        <w:tblLayout w:type="fixed"/>
        <w:tblLook w:val="0000"/>
      </w:tblPr>
      <w:tblGrid>
        <w:gridCol w:w="2519"/>
        <w:gridCol w:w="1268"/>
        <w:gridCol w:w="1600"/>
        <w:gridCol w:w="1417"/>
        <w:gridCol w:w="709"/>
        <w:tblGridChange w:id="0">
          <w:tblGrid>
            <w:gridCol w:w="2519"/>
            <w:gridCol w:w="1268"/>
            <w:gridCol w:w="1600"/>
            <w:gridCol w:w="1417"/>
            <w:gridCol w:w="709"/>
          </w:tblGrid>
        </w:tblGridChange>
      </w:tblGrid>
      <w:tr>
        <w:trPr>
          <w:trHeight w:val="320" w:hRule="atLeast"/>
        </w:trPr>
        <w:tc>
          <w:tcPr>
            <w:vMerge w:val="restart"/>
            <w:tcBorders>
              <w:top w:color="000000" w:space="0" w:sz="0" w:val="nil"/>
              <w:left w:color="000000" w:space="0" w:sz="0" w:val="nil"/>
              <w:right w:color="000000" w:space="0" w:sz="0" w:val="nil"/>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Programa</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Nombramiento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70c0"/>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tl w:val="0"/>
              </w:rPr>
            </w:r>
          </w:p>
        </w:tc>
      </w:tr>
      <w:tr>
        <w:trPr>
          <w:trHeight w:val="280" w:hRule="atLeast"/>
        </w:trPr>
        <w:tc>
          <w:tcPr>
            <w:vMerge w:val="continue"/>
            <w:tcBorders>
              <w:top w:color="000000" w:space="0" w:sz="0" w:val="nil"/>
              <w:left w:color="000000" w:space="0" w:sz="0" w:val="nil"/>
              <w:right w:color="000000" w:space="0" w:sz="0" w:val="nil"/>
            </w:tcBorders>
            <w:shd w:fill="0070c0"/>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95b3d7" w:space="0" w:sz="4" w:val="single"/>
              <w:right w:color="000000" w:space="0" w:sz="0" w:val="nil"/>
            </w:tcBorders>
            <w:shd w:fill="0070c0"/>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vertAlign w:val="baseline"/>
                <w:rtl w:val="0"/>
              </w:rPr>
              <w:t xml:space="preserve">Permanente</w:t>
            </w:r>
            <w:r w:rsidDel="00000000" w:rsidR="00000000" w:rsidRPr="00000000">
              <w:rPr>
                <w:rtl w:val="0"/>
              </w:rPr>
            </w:r>
          </w:p>
        </w:tc>
        <w:tc>
          <w:tcPr>
            <w:tcBorders>
              <w:top w:color="000000" w:space="0" w:sz="0" w:val="nil"/>
              <w:left w:color="000000" w:space="0" w:sz="0" w:val="nil"/>
              <w:bottom w:color="95b3d7" w:space="0" w:sz="4" w:val="single"/>
              <w:right w:color="000000" w:space="0" w:sz="0" w:val="nil"/>
            </w:tcBorders>
            <w:shd w:fill="0070c0"/>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vertAlign w:val="baseline"/>
                <w:rtl w:val="0"/>
              </w:rPr>
              <w:t xml:space="preserve">Permanente NT</w:t>
            </w:r>
            <w:r w:rsidDel="00000000" w:rsidR="00000000" w:rsidRPr="00000000">
              <w:rPr>
                <w:rtl w:val="0"/>
              </w:rPr>
            </w:r>
          </w:p>
        </w:tc>
        <w:tc>
          <w:tcPr>
            <w:tcBorders>
              <w:top w:color="000000" w:space="0" w:sz="0" w:val="nil"/>
              <w:left w:color="000000" w:space="0" w:sz="0" w:val="nil"/>
              <w:bottom w:color="95b3d7" w:space="0" w:sz="4" w:val="single"/>
              <w:right w:color="000000" w:space="0" w:sz="0" w:val="nil"/>
            </w:tcBorders>
            <w:shd w:fill="0070c0"/>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95b3d7" w:space="0" w:sz="4" w:val="single"/>
              <w:right w:color="000000" w:space="0" w:sz="0" w:val="nil"/>
            </w:tcBorders>
            <w:shd w:fill="0070c0"/>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vertAlign w:val="baseline"/>
                <w:rtl w:val="0"/>
              </w:rPr>
              <w:t xml:space="preserve">Total</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1.1 Dirección Superior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16</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1.2 Vic. Administración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23</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1.4 Centro Acd. Limón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14</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2 Vic. Docencia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82</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3 VIESA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14</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4 VIE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56</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5 Sede San Carlos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26</w:t>
            </w:r>
            <w:r w:rsidDel="00000000" w:rsidR="00000000" w:rsidRPr="00000000">
              <w:rPr>
                <w:rtl w:val="0"/>
              </w:rPr>
            </w:r>
          </w:p>
        </w:tc>
      </w:tr>
      <w:tr>
        <w:trPr>
          <w:trHeight w:val="280" w:hRule="atLeast"/>
        </w:trPr>
        <w:tc>
          <w:tcPr>
            <w:tcBorders>
              <w:top w:color="95b3d7" w:space="0" w:sz="4" w:val="single"/>
              <w:left w:color="000000" w:space="0" w:sz="0" w:val="nil"/>
              <w:bottom w:color="000000" w:space="0" w:sz="0" w:val="nil"/>
              <w:right w:color="000000" w:space="0" w:sz="0" w:val="nil"/>
            </w:tcBorders>
            <w:shd w:fill="dce6f1"/>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vertAlign w:val="baseline"/>
                <w:rtl w:val="0"/>
              </w:rPr>
              <w:t xml:space="preserve">Total general</w:t>
            </w:r>
            <w:r w:rsidDel="00000000" w:rsidR="00000000" w:rsidRPr="00000000">
              <w:rPr>
                <w:rtl w:val="0"/>
              </w:rPr>
            </w:r>
          </w:p>
        </w:tc>
        <w:tc>
          <w:tcPr>
            <w:tcBorders>
              <w:top w:color="95b3d7" w:space="0" w:sz="4" w:val="single"/>
              <w:left w:color="000000" w:space="0" w:sz="0" w:val="nil"/>
              <w:bottom w:color="000000" w:space="0" w:sz="0" w:val="nil"/>
              <w:right w:color="000000" w:space="0" w:sz="0" w:val="nil"/>
            </w:tcBorders>
            <w:shd w:fill="dce6f1"/>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122</w:t>
            </w:r>
            <w:r w:rsidDel="00000000" w:rsidR="00000000" w:rsidRPr="00000000">
              <w:rPr>
                <w:rtl w:val="0"/>
              </w:rPr>
            </w:r>
          </w:p>
        </w:tc>
        <w:tc>
          <w:tcPr>
            <w:tcBorders>
              <w:top w:color="95b3d7" w:space="0" w:sz="4" w:val="single"/>
              <w:left w:color="000000" w:space="0" w:sz="0" w:val="nil"/>
              <w:bottom w:color="000000" w:space="0" w:sz="0" w:val="nil"/>
              <w:right w:color="000000" w:space="0" w:sz="0" w:val="nil"/>
            </w:tcBorders>
            <w:shd w:fill="dce6f1"/>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14</w:t>
            </w:r>
            <w:r w:rsidDel="00000000" w:rsidR="00000000" w:rsidRPr="00000000">
              <w:rPr>
                <w:rtl w:val="0"/>
              </w:rPr>
            </w:r>
          </w:p>
        </w:tc>
        <w:tc>
          <w:tcPr>
            <w:tcBorders>
              <w:top w:color="95b3d7" w:space="0" w:sz="4" w:val="single"/>
              <w:left w:color="000000" w:space="0" w:sz="0" w:val="nil"/>
              <w:bottom w:color="000000" w:space="0" w:sz="0" w:val="nil"/>
              <w:right w:color="000000" w:space="0" w:sz="0" w:val="nil"/>
            </w:tcBorders>
            <w:shd w:fill="dce6f1"/>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95</w:t>
            </w:r>
            <w:r w:rsidDel="00000000" w:rsidR="00000000" w:rsidRPr="00000000">
              <w:rPr>
                <w:rtl w:val="0"/>
              </w:rPr>
            </w:r>
          </w:p>
        </w:tc>
        <w:tc>
          <w:tcPr>
            <w:tcBorders>
              <w:top w:color="95b3d7" w:space="0" w:sz="4" w:val="single"/>
              <w:left w:color="000000" w:space="0" w:sz="0" w:val="nil"/>
              <w:bottom w:color="000000" w:space="0" w:sz="0" w:val="nil"/>
              <w:right w:color="000000" w:space="0" w:sz="0" w:val="nil"/>
            </w:tcBorders>
            <w:shd w:fill="dce6f1"/>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231</w:t>
            </w:r>
            <w:r w:rsidDel="00000000" w:rsidR="00000000" w:rsidRPr="00000000">
              <w:rPr>
                <w:rtl w:val="0"/>
              </w:rPr>
            </w:r>
          </w:p>
        </w:tc>
      </w:tr>
    </w:tbl>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tbl>
      <w:tblPr>
        <w:tblStyle w:val="Table4"/>
        <w:bidi w:val="0"/>
        <w:tblW w:w="9986.0" w:type="dxa"/>
        <w:jc w:val="left"/>
        <w:tblInd w:w="-284.0" w:type="dxa"/>
        <w:tblLayout w:type="fixed"/>
        <w:tblLook w:val="0000"/>
      </w:tblPr>
      <w:tblGrid>
        <w:gridCol w:w="249"/>
        <w:gridCol w:w="85"/>
        <w:gridCol w:w="232"/>
        <w:gridCol w:w="189"/>
        <w:gridCol w:w="280"/>
        <w:gridCol w:w="226"/>
        <w:gridCol w:w="227"/>
        <w:gridCol w:w="789"/>
        <w:gridCol w:w="707"/>
        <w:gridCol w:w="215"/>
        <w:gridCol w:w="157"/>
        <w:gridCol w:w="193"/>
        <w:gridCol w:w="193"/>
        <w:gridCol w:w="158"/>
        <w:gridCol w:w="158"/>
        <w:gridCol w:w="170"/>
        <w:gridCol w:w="182"/>
        <w:gridCol w:w="242"/>
        <w:gridCol w:w="444"/>
        <w:gridCol w:w="778"/>
        <w:gridCol w:w="670"/>
        <w:gridCol w:w="724"/>
        <w:gridCol w:w="2718"/>
        <w:tblGridChange w:id="0">
          <w:tblGrid>
            <w:gridCol w:w="249"/>
            <w:gridCol w:w="85"/>
            <w:gridCol w:w="232"/>
            <w:gridCol w:w="189"/>
            <w:gridCol w:w="280"/>
            <w:gridCol w:w="226"/>
            <w:gridCol w:w="227"/>
            <w:gridCol w:w="789"/>
            <w:gridCol w:w="707"/>
            <w:gridCol w:w="215"/>
            <w:gridCol w:w="157"/>
            <w:gridCol w:w="193"/>
            <w:gridCol w:w="193"/>
            <w:gridCol w:w="158"/>
            <w:gridCol w:w="158"/>
            <w:gridCol w:w="170"/>
            <w:gridCol w:w="182"/>
            <w:gridCol w:w="242"/>
            <w:gridCol w:w="444"/>
            <w:gridCol w:w="778"/>
            <w:gridCol w:w="670"/>
            <w:gridCol w:w="724"/>
            <w:gridCol w:w="2718"/>
          </w:tblGrid>
        </w:tblGridChange>
      </w:tblGrid>
      <w:tr>
        <w:trPr>
          <w:trHeight w:val="760" w:hRule="atLeast"/>
        </w:trPr>
        <w:tc>
          <w:tcPr>
            <w:gridSpan w:val="2"/>
            <w:tcBorders>
              <w:top w:color="000000" w:space="0" w:sz="4" w:val="single"/>
              <w:left w:color="000000" w:space="0" w:sz="4" w:val="single"/>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Programa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Actual</w:t>
              <w:br w:type="textWrapping"/>
              <w:t xml:space="preserve">Cód. plaza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Nuevo</w:t>
              <w:br w:type="textWrapping"/>
              <w:t xml:space="preserve">Cód. plaza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Categoría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Periodo (meses)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Nombram.</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6"/>
                <w:szCs w:val="16"/>
                <w:vertAlign w:val="baseline"/>
                <w:rtl w:val="0"/>
              </w:rPr>
              <w:t xml:space="preserve">Observaciones</w:t>
              <w:br w:type="textWrapping"/>
              <w:t xml:space="preserve">Renovación y reconversión</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Tecnologías de Información y Comunicación (Profesional en Diseño Web)</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DATIC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Se esperará a la creación de la Unidad del Web Institucional para formalizar estas plazas a permanentes</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Comunicación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Comunicación y Mercadeo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Se esperará a la creación de la Unidad del Web Institucional para formalizar estas plazas a permanentes</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Comunicación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Comunicación y Mercadeo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Se esperará a la creación de la Unidad del Web Institucional para formalizar estas plazas a permanentes</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en Mantenimiento o Artes Gráficas (Fotógrafo)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Comunicación y Mercadeo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Se esperará a la creación de la Unidad del Web Institucional para formalizar estas plazas a permanentes</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Comunicación y Mercadeo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Se esperará a la creación de la Unidad del Web Institucional para formalizar estas plazas a permanentes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CT0356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CF2869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Comunicación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Comunicación y Mercadeo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CT0081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CF2870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DATIC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CT0240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CF2871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DATIC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Administrador de Backups Institucionales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CT0241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CF2872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DATIC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CT0243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CF2873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DATIC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SE044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CF2874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DATIC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CT0137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CF2875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Comunicación y Mercadeo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CT0234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CF2876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Comunicación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Comunicación y Mercadeo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CT0235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CT2877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Comunicación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Comunicación y Mercadeo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Periodismo</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Ingeniería o Arquitectura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Ingeniería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CT0107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CT0107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Dirección Vicerrectoría de Administración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la Implementación de las NICSP</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CT0246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CF2878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Aprovisionamiento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labores de compras al exterior</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CT0248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CF2879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Técnico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Financiero Contable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CT0259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CT0259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Recursos Humanos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Área de Evaluación del desempeño.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Recursos Humanos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Área de Evaluación del desempeño.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Recursos Humanos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Área de Evaluación del desempeño.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Recursos Humanos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Área de Evaluación del desempeño.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Recursos Humanos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Área de Evaluación del desempeño.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Recursos Humanos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Área de Evaluación del desempeño.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Recursos Humanos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Área de Evaluación del desempeño.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CT0266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Recursos Humanos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Área de Evaluación del desempeño.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CF2880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Financiero Contable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NT0218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DATIC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implementaccion de proyectos de TICs en distintas dependencias del TEC, se puede cambiar el puesto de acuerdo a cada proyecto</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CT0343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NT0219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Dirección Vicerrectoría de Administración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Asistente del Vicerrector de Administración. De nombramiento de confianza.</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30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NT0220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DATIC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implementaccion de proyectos de TICs en distintas dependencias del TEC, se puede cambiar el puesto de acuerdo a cada proyecto</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31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CF2881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Financiero Contable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32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CF2882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Aprovisionamiento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33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CT0254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CT0254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Departamento de Aprovisionamiento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Para fiscalizar los contratos de tercerización que tiene la institución.</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34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Dirección Vicerrectoría de Administración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Se aprueban condicionadas por 6 meses a la presentación de un proyecto de implementación del Modelo de Competencias</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35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Dirección Vicerrectoría de Administración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Se aprueban condicionadas por 6 meses a la presentación de un proyecto de implementación del Modelo de Competencias</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36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Dirección Vicerrectoría de Administración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Se aprueban condicionadas por 6 meses a la presentación de un proyecto de implementación del Modelo de Competencias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37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SE048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Técnico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Recursos Humanos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38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CT0162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CF2883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39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CT0163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CF2884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de AE-Nocturna de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Contratar en jornada  Vespertina</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CT0164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CF2885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CT0165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CF2886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Académico (a) Administrativo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CT0166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CF2887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CT0167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CF2888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Bibliotecología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CT0169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CF2889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de Producción Industrial de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Chofer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de Ing. Computación de Limón</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49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en Mantenimiento o Artes Gráficas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labores de mantenimiento en las instalaciones del CAL</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Profesional en Psicología y Orientación. Contratar en jornada  Vespertina</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CT0342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Centro Académico Limón - Para jornada Vespertina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Profesional en Trabajo Social.Contratar en jornada  Vespertina</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CT0358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Unidad desconcentrada Computación San José.</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estabilizar el grupo de profesores de la carrera Ing. Computación SJ</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CT0359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Unidad desconcentrada Computación San José.</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estabilizar el grupo de profesores de la carrera Ing. Computación SJ</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CT0360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Mecatrónica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CT0361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Mecatrónica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CT0362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Ing. en Computadores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CT0363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CF2899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Física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CT0364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Física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CT0365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Física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CT0366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Física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CT0367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ATI</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CT0368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de los Materiales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Banco Mundial.  Destacada en la Oficina de Ingeniería. Proceso de facturación, solicitudes de bienes y órdenes de pago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Banco Mundial.  Destacada en Aprovisionamiento. Encargada de adquisiciones durante el 2017</w:t>
            </w:r>
            <w:r w:rsidDel="00000000" w:rsidR="00000000" w:rsidRPr="00000000">
              <w:rPr>
                <w:rtl w:val="0"/>
              </w:rPr>
            </w:r>
          </w:p>
        </w:tc>
      </w:tr>
      <w:tr>
        <w:trPr>
          <w:trHeight w:val="5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Ingeniería o Arquitectura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Banco Mundial. Responsable de la Gestión Ambiental-2017</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Ingeniería o Arquitectura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Profesional Ing. Electromecánica, especialista en equipamiento. Banco Mundial.  Destacada en la Oficina de Ingeniería</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Banco Mundial. Destacada en la Oficina de Planificación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Banco Mundial. Destacada en el Departamento Financiero Contable</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69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Asesoría Estudiantil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Banco Mundial.  Responsable Salvaguarda Indígena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BM008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Banco Mundial. Destacada en la Vicerrectoría de Docencia</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Ingeniería en Computadores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Atención cursos de servicios de las Escuelas: MA, Q, F, CL, CS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CT0201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Consolidar la Unidad del TecDigital</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CT0202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Consolidar la Unidad del TecDigital</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CT0153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Ing. Computación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CT0154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CF2909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Ing. Computación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CT0155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Ing. Computación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CT0156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Ing. Producción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CT0157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Ing. Producción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CT0158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Ing. Producción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CT0159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Ing. AE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CT0160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Ing. AE Limón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CT0272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Sociales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CT0274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CT0274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CT0275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CT0275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CT0280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Administración de Empresas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CT0281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Producción Industrial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CT0282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Producción Industrial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89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CT0283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Arquitectura y Urbanismo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CT0285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Consolidar la Unidad del TecDigital</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CT0286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TIC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Consolidar la Unidad del TecDigital</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CT0291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Oficina de Planificación Institucional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gestor de proyectos en la OPI</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CT0292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NT0221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Proyectos especiales.  Dicha plaza será de  nombramiento de confianza del Vicerrector</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Centro Académico Limón</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99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CT0338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Docencia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Química (Ambiental)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NT0022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del Lenguaje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4.8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del Lenguaje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4.8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CF2115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Matemática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4.8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NT0126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CF2199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Química (Ambiental)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6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NT0188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Matemática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NT0024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Matemática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6 a 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Biología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6 a 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CF2113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Computación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6 a 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NT0032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Computación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NT0033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Computación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NT0034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Computación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NT0035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Computación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CF2168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del Lenguaje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NT0142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CF2257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Sociales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NT0015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Electrónica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Electrónica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Matemática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Electromecánica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Electromecánica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NT0135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CF2235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Producción Industrial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NT0184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ATI</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NT0185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ATI</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NT0071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CF0475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Matemática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10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CF2939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Electromecánica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NT0009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Electromecánica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NT0187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CF2613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Física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Ampliación de los meses de 9,5 a 12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CT0378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Cultura y Deporte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Unidad de Cultura Cartago</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Gestión de Cooperación o Proyectos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Cultura y Deporte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Gestor, Productor y Programador del Centro de las Artes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CT0380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Cultura y Deporte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CT0381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Asistente de Administración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Trabajo Social y Salud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cubrir jornada vespertina hasta las 8pm</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139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CT0382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Salud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Trabajo Social y Salud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cubrir jornada vespertina hasta las 8pm</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CT0383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Trabajo Social y Salud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cubrir jornada vespertina hasta las 8pm</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CT0384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Admisión y Registro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Para cubrir jornada vespertina</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CT0386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Admisión y Registro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Apoyo a Ventanilla de servicios de Admisión y Registro</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Orientación y Psicología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Asistente de Administración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0,33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Orientación y Psicología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Asistente de Administración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Orientación y Psicología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Auxiliar de Administración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Vida Estudiantil y Servicios Académicos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Destacado en el DAR</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CT0104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Auxiliar de Administración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Vida Estudiantil y Servicios Académicos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Destacado en el DAR</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148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CT0168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CF2949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Admisión y Registro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8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149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CT0349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NT0222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sz w:val="16"/>
                <w:szCs w:val="16"/>
                <w:vertAlign w:val="baseline"/>
                <w:rtl w:val="0"/>
              </w:rPr>
              <w:t xml:space="preserve">De nombramiento discrecional del Vicerrector de Investigación.  Asistente del Vicerrector</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CT0122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NT0223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NT0224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CT0132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NT0225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CT0133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NT0226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CT0134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NT0227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CT0207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NT0228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CT0208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NT0229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CT0209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NT0230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NT0231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 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159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CT0069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CT0069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CT0071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CT0139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CT0139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CT0140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CT0140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CT0141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CT0141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169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179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Proyect. Estrat. (3% FEES). </w:t>
              <w:br w:type="textWrapping"/>
              <w:t xml:space="preserve">Cambia el puesto de Profesional en Administración a Profesor</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Departamento de Aprovisionamiento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Adscrita a la VIE, pero destacada y ubicada en el Departamento de Aprovisionamiento exclusivamente para compras de la VIE, con el fin que la persona le responda directamente al Vicerrector de Investigación y Extensión.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CT0189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Recursos Externos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CT0190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CT0190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Recursos Externos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CT0191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CT0191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Recursos Externos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CT0192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CT0192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Recursos Externos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CT0193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CT0193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Recursos Externos</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CT0306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CT0306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CT0308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CT0308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189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CT0309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CT0309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2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Asistente de Administración 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 (Centro de Investigación en Materiales)</w:t>
            </w:r>
            <w:r w:rsidDel="00000000" w:rsidR="00000000" w:rsidRPr="00000000">
              <w:rPr>
                <w:rtl w:val="0"/>
              </w:rPr>
            </w:r>
          </w:p>
        </w:tc>
      </w:tr>
      <w:tr>
        <w:trPr>
          <w:trHeight w:val="16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199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 (Centro de Investigación en Administración, Economía y Gestión Tecnológica). </w:t>
            </w:r>
            <w:r w:rsidDel="00000000" w:rsidR="00000000" w:rsidRPr="00000000">
              <w:rPr>
                <w:rFonts w:ascii="Calibri" w:cs="Calibri" w:eastAsia="Calibri" w:hAnsi="Calibri"/>
                <w:color w:val="ffffff"/>
                <w:sz w:val="16"/>
                <w:szCs w:val="16"/>
                <w:vertAlign w:val="baseline"/>
                <w:rtl w:val="0"/>
              </w:rPr>
              <w:t xml:space="preserve">Se considera que hay que darles estabilidad a estos servicios de apoyo en los Centros de Investigación, ya el año pasado se había hablado con los coordinadores de Centros de Investigación.</w:t>
            </w:r>
            <w:r w:rsidDel="00000000" w:rsidR="00000000" w:rsidRPr="00000000">
              <w:rPr>
                <w:rtl w:val="0"/>
              </w:rPr>
            </w:r>
          </w:p>
        </w:tc>
      </w:tr>
      <w:tr>
        <w:trPr>
          <w:trHeight w:val="2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 (Centro de Investigación en Biotecnología). </w:t>
            </w:r>
            <w:r w:rsidDel="00000000" w:rsidR="00000000" w:rsidRPr="00000000">
              <w:rPr>
                <w:rFonts w:ascii="Calibri" w:cs="Calibri" w:eastAsia="Calibri" w:hAnsi="Calibri"/>
                <w:color w:val="ffffff"/>
                <w:sz w:val="16"/>
                <w:szCs w:val="16"/>
                <w:vertAlign w:val="baseline"/>
                <w:rtl w:val="0"/>
              </w:rPr>
              <w:t xml:space="preserve">Se considera que hay que darles estabilidad a estos servicios de apoyo en los Centros de Investigación, ya el año pasado se había hablado con los coordinadores de Centros de Investigación.</w:t>
            </w:r>
            <w:r w:rsidDel="00000000" w:rsidR="00000000" w:rsidRPr="00000000">
              <w:rPr>
                <w:rtl w:val="0"/>
              </w:rPr>
            </w:r>
          </w:p>
        </w:tc>
      </w:tr>
      <w:tr>
        <w:trPr>
          <w:trHeight w:val="16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201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CT0322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 (Centro de Investigación en Desarrollo en Agricultura sostenible para el trópico húmedo). </w:t>
            </w:r>
            <w:r w:rsidDel="00000000" w:rsidR="00000000" w:rsidRPr="00000000">
              <w:rPr>
                <w:rFonts w:ascii="Calibri" w:cs="Calibri" w:eastAsia="Calibri" w:hAnsi="Calibri"/>
                <w:color w:val="ffffff"/>
                <w:sz w:val="16"/>
                <w:szCs w:val="16"/>
                <w:vertAlign w:val="baseline"/>
                <w:rtl w:val="0"/>
              </w:rPr>
              <w:t xml:space="preserve">Se considera que hay que darles estabilidad a estos servicios de apoyo en los Centros de Investigación, ya el año pasado se había hablado con los coordinadores de Centros de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202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CT0253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CT0253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203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CT0256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CT0256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204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CT0257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CT0257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205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CT0258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CT0258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Temporal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Vicerrectoría de Investigación y Extensión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Reserva 3% FEES para Investigación</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206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Naturales y Exactas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207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Naturales y Exactas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208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Naturales y Exactas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209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CT0215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Idiomas y Ciencias Sociales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Idiomas y Ciencias Sociales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CF2959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Idiomas y Ciencias Sociales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Técnico Académico (a) Administrativo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Unidad Desconcentrada de Producción Industrial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0"/>
                <w:szCs w:val="20"/>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CT0220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Técnico Académico (a) Administrativo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Unidad Desconcentrada de Electrónica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Unidad Desconcentrada de Producción Industrial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CT0047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Unidad Desconcentrada de Electrónica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ff0000"/>
                <w:sz w:val="16"/>
                <w:szCs w:val="16"/>
                <w:vertAlign w:val="baseline"/>
                <w:rtl w:val="0"/>
              </w:rPr>
              <w:t xml:space="preserve">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CT0150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CF2868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 Administración Financiera y Administración de Bienes -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CT0295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Dirección Sede Regional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CT0296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Idiomas y Ciencias Sociales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CT0297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Direccion de Sede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CT0298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Naturales y Exactas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CT0299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Naturales y Exactas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CF2969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Naturales y Exactas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CT0302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CF2970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Secretaria (o) Ejecutiva (o)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Naturales y Exactas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CT0303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CF2971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Administración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CTEC</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6"/>
                <w:szCs w:val="16"/>
                <w:vertAlign w:val="baseline"/>
                <w:rtl w:val="0"/>
              </w:rPr>
              <w:t xml:space="preserve">Hace labores en el CTEC</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CT0389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CF2972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de Producción Industrial de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vertAlign w:val="baseline"/>
                <w:rtl w:val="0"/>
              </w:rPr>
              <w:t xml:space="preserve">Para cubrir los cursos propios de las nuevas Carreras y el aumento de la población estudiantil.</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CT0390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CF2973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de Producción Industrial de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vertAlign w:val="baseline"/>
                <w:rtl w:val="0"/>
              </w:rPr>
              <w:t xml:space="preserve">Para cubrir los cursos propios de las nuevas Carreras y el aumento de la población estudiantil.</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CT0391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CF2974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de Producción Industrial de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vertAlign w:val="baseline"/>
                <w:rtl w:val="0"/>
              </w:rPr>
              <w:t xml:space="preserve">Para cubrir los cursos propios de las nuevas Carreras y el aumento de la población estudiantil.</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CT0392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CF2975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de Electrónica de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vertAlign w:val="baseline"/>
                <w:rtl w:val="0"/>
              </w:rPr>
              <w:t xml:space="preserve">Para cubrir los cursos propios de las nuevas Carreras y el aumento de la población estudiantil.</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CT0393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CF2976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de Electrónica de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vertAlign w:val="baseline"/>
                <w:rtl w:val="0"/>
              </w:rPr>
              <w:t xml:space="preserve">Para cubrir los cursos propios de las nuevas Carreras y el aumento de la población estudiantil.</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CT0394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CF2977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Profesor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Unidad Desconcentrada de Electrónica de San Carlos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vertAlign w:val="baseline"/>
                <w:rtl w:val="0"/>
              </w:rPr>
              <w:t xml:space="preserve">Para cubrir los cursos propios de las nuevas Carreras y el aumento de la población estudiantil.</w:t>
            </w:r>
            <w:r w:rsidDel="00000000" w:rsidR="00000000" w:rsidRPr="00000000">
              <w:rPr>
                <w:rtl w:val="0"/>
              </w:rPr>
            </w:r>
          </w:p>
        </w:tc>
      </w:tr>
      <w:tr>
        <w:trPr>
          <w:trHeight w:val="7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CT0223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CF2978</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Técnico Académico (a) Administrativo (a)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Permanente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Escuela de Ciencias Naturales y Exactas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bl>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60" w:right="-91" w:hanging="360"/>
        <w:contextualSpacing w:val="1"/>
        <w:jc w:val="both"/>
        <w:rPr>
          <w:rFonts w:ascii="Arial" w:cs="Arial" w:eastAsia="Arial" w:hAnsi="Arial"/>
          <w:color w:val="ff0000"/>
        </w:rPr>
      </w:pPr>
      <w:r w:rsidDel="00000000" w:rsidR="00000000" w:rsidRPr="00000000">
        <w:rPr>
          <w:rFonts w:ascii="Arial" w:cs="Arial" w:eastAsia="Arial" w:hAnsi="Arial"/>
          <w:vertAlign w:val="baseline"/>
          <w:rtl w:val="0"/>
        </w:rPr>
        <w:t xml:space="preserve">Instruir a la Administración sacar los concursos de personal, de las plazas que han sido trasformadas como permanentes a más tardar el 30 de noviembre del presente año, en caso contrario las plazas adquirirán de nuevo su nombramiento de temporales para el año 2017.</w:t>
      </w:r>
      <w:r w:rsidDel="00000000" w:rsidR="00000000" w:rsidRPr="00000000">
        <w:rPr>
          <w:rtl w:val="0"/>
        </w:rPr>
      </w:r>
    </w:p>
    <w:p w:rsidR="00000000" w:rsidDel="00000000" w:rsidP="00000000" w:rsidRDefault="00000000" w:rsidRPr="00000000">
      <w:pPr>
        <w:spacing w:after="0" w:before="0" w:lineRule="auto"/>
        <w:ind w:left="426" w:right="-9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60" w:right="-91"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Recordar a la Administración que la modificación de cualquiera de las condiciones con las que se aprueban las plazas en este acuerdo, sólo puede hacerse por parte del Consejo Institucional.</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360" w:right="-91"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Indicar a la Administración realizar los ajustes necesarios en la codificación de las plazas, en caso de ser necesario.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360" w:right="-91"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Indicar al Departamento de Recursos Humanos, que las plazas aprobadas en jornadas vespertinas, deberán tener un horario que permita dar el servicio vespertino al menos hasta las 8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before="0" w:lineRule="auto"/>
        <w:ind w:left="360" w:right="-91"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lineRule="auto"/>
        <w:ind w:right="-91"/>
        <w:contextualSpacing w:val="0"/>
        <w:jc w:val="both"/>
      </w:pPr>
      <w:r w:rsidDel="00000000" w:rsidR="00000000" w:rsidRPr="00000000">
        <w:rPr>
          <w:rtl w:val="0"/>
        </w:rPr>
      </w:r>
    </w:p>
    <w:p w:rsidR="00000000" w:rsidDel="00000000" w:rsidP="00000000" w:rsidRDefault="00000000" w:rsidRPr="00000000">
      <w:pPr>
        <w:spacing w:after="0" w:before="0" w:lineRule="auto"/>
        <w:ind w:right="-9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PALABRAS CLAVE:  Renovación – Reconversión – Plazas - 2017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5"/>
        <w:bidi w:val="0"/>
        <w:tblW w:w="22547.000000000004" w:type="dxa"/>
        <w:jc w:val="left"/>
        <w:tblInd w:w="-108.0" w:type="dxa"/>
        <w:tblLayout w:type="fixed"/>
        <w:tblLook w:val="0000"/>
      </w:tblPr>
      <w:tblGrid>
        <w:gridCol w:w="4361"/>
        <w:gridCol w:w="4361"/>
        <w:gridCol w:w="4361"/>
        <w:gridCol w:w="4361"/>
        <w:gridCol w:w="742"/>
        <w:gridCol w:w="4361"/>
        <w:tblGridChange w:id="0">
          <w:tblGrid>
            <w:gridCol w:w="4361"/>
            <w:gridCol w:w="4361"/>
            <w:gridCol w:w="4361"/>
            <w:gridCol w:w="4361"/>
            <w:gridCol w:w="742"/>
            <w:gridCol w:w="4361"/>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Lic. Roy D’Avanzo, Director Depto. Financiero Contable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3"/>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2989, Artículo 7 del 14 de setiembre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b w:val="1"/>
        <w:i w:val="0"/>
        <w:sz w:val="24"/>
        <w:szCs w:val="24"/>
        <w:vertAlign w:val="baseline"/>
      </w:rPr>
    </w:lvl>
    <w:lvl w:ilvl="1">
      <w:start w:val="1"/>
      <w:numFmt w:val="lowerRoman"/>
      <w:lvlText w:val="%2."/>
      <w:lvlJc w:val="righ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4472" w:firstLine="4112"/>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