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SCI-596-2016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Nery Agüero, Jefa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Comisión de Asuntos Jurídicos,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setiembre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spacing w:after="0" w:before="0" w:line="240" w:lineRule="auto"/>
              <w:ind w:left="34" w:right="0"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2991, Artículo 12, del 28 de setiembre de 2016.   Pronunciamiento del Consejo Institucional sobre el Proyecto de “Ley Reforma al Artículo  56 Bis del Código Procesal Penal, Ley No. 4573 del 4 de mayo de 1970”, Expediente No. 20.020</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Instituto Tecnológico de Costa Rica, en el Artículo 18, inciso i) señala:</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Evacuar las consultas a que se refiere el Artículo 88 de la Constitución Política de la República”.</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Boleta de Comunicación Ref 629-16, con fecha de recibido 07 de setiembre de 2016, suscrito por el Dr. Julio Calvo, Rector, dirigido a los Miembros del Consejo Institucional, en cual adjunta oficio CJ-201-2016 sobre consulta de Proyecto de Ley “Reforma al artículo 56 bis del Código Procesal Penal, Ley No. 4573 del 04 de mayo de 1970”, Expediente No. 20.020.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precitado oficio fue conocido por el Consejo Institucional, en la Sesión Ordinaria No. 2989, celebrada el día 14 de setiembre 2016, y se dispone remitirlo en consulta a la Oficina de Asesoría Legal del TEC. (Anexo 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1</w:t>
      </w:r>
      <w:r w:rsidDel="00000000" w:rsidR="00000000" w:rsidRPr="00000000">
        <w:rPr>
          <w:rtl w:val="0"/>
        </w:rPr>
      </w:r>
    </w:p>
    <w:tbl>
      <w:tblPr>
        <w:tblStyle w:val="Table2"/>
        <w:bidi w:val="0"/>
        <w:tblW w:w="8311.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8"/>
        <w:gridCol w:w="5193"/>
        <w:tblGridChange w:id="0">
          <w:tblGrid>
            <w:gridCol w:w="3118"/>
            <w:gridCol w:w="5193"/>
          </w:tblGrid>
        </w:tblGridChange>
      </w:tblGrid>
      <w:tr>
        <w:trPr>
          <w:trHeight w:val="3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Ref 629-16, 07-09-2016, se adjunta oficio CJ-201-2016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al Instituto Tecnológico de Costa Rica sobre el </w:t>
            </w:r>
            <w:r w:rsidDel="00000000" w:rsidR="00000000" w:rsidRPr="00000000">
              <w:rPr>
                <w:rFonts w:ascii="Arial" w:cs="Arial" w:eastAsia="Arial" w:hAnsi="Arial"/>
                <w:vertAlign w:val="baseline"/>
                <w:rtl w:val="0"/>
              </w:rPr>
              <w:t xml:space="preserve">Proyecto de Ley “Reforma al artículo 56 bis del Código Procesal Penal, Ley No. 4573 del 04 de mayo de 1970”, Expediente No. 20.020</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2</w:t>
      </w:r>
      <w:r w:rsidDel="00000000" w:rsidR="00000000" w:rsidRPr="00000000">
        <w:rPr>
          <w:rtl w:val="0"/>
        </w:rPr>
      </w:r>
    </w:p>
    <w:tbl>
      <w:tblPr>
        <w:tblStyle w:val="Table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1"/>
        <w:gridCol w:w="5240"/>
        <w:tblGridChange w:id="0">
          <w:tblGrid>
            <w:gridCol w:w="3071"/>
            <w:gridCol w:w="524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SCI-552-2016, del 14 de setiembre de 2016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 la Oficina de Asesoría Legal, sobre el  Proyecto de Ley “Reforma al artículo 56 bis del Código Procesal Penal, Ley No. 4573 del 04 de mayo de 1970”, Expediente No. 20.020.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3</w:t>
      </w:r>
      <w:r w:rsidDel="00000000" w:rsidR="00000000" w:rsidRPr="00000000">
        <w:rPr>
          <w:rtl w:val="0"/>
        </w:rPr>
      </w:r>
    </w:p>
    <w:tbl>
      <w:tblPr>
        <w:tblStyle w:val="Table4"/>
        <w:bidi w:val="0"/>
        <w:tblW w:w="83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5197"/>
        <w:tblGridChange w:id="0">
          <w:tblGrid>
            <w:gridCol w:w="3114"/>
            <w:gridCol w:w="519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rPr>
          <w:trHeight w:val="9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AL-509-2016, del 21 de setiembre de 2016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Pronunciamiento de la Oficina de Asesoría Legal al  Proyecto de Ley “Reforma al artículo 56 bis del Código Procesal Penal, Ley No. 4573 del 04 de mayo de 1970”, Expediente No. 20.020.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Recomiendan apoyar el proyecto y las recomendaciones planteadas en el citado pronunciamiento.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w:t>
      </w:r>
      <w:r w:rsidDel="00000000" w:rsidR="00000000" w:rsidRPr="00000000">
        <w:rPr>
          <w:rFonts w:ascii="Arial" w:cs="Arial" w:eastAsia="Arial" w:hAnsi="Arial"/>
          <w:sz w:val="22"/>
          <w:szCs w:val="22"/>
          <w:vertAlign w:val="baseline"/>
          <w:rtl w:val="0"/>
        </w:rPr>
        <w:t xml:space="preserve">l  </w:t>
      </w:r>
      <w:r w:rsidDel="00000000" w:rsidR="00000000" w:rsidRPr="00000000">
        <w:rPr>
          <w:rFonts w:ascii="Arial" w:cs="Arial" w:eastAsia="Arial" w:hAnsi="Arial"/>
          <w:vertAlign w:val="baseline"/>
          <w:rtl w:val="0"/>
        </w:rPr>
        <w:t xml:space="preserve">Proyecto de Ley “Reforma al artículo 56 bis del Código Procesal Penal, Ley No. 4573 del 04 de mayo de 1970”, Expediente No. 20.020.</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de Asuntos Jurídicos de la Asamblea Legislativa, tomar en consideración las observaciones y recomendaciones técnicas sugeridas.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28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20"/>
          <w:szCs w:val="20"/>
          <w:vertAlign w:val="baseline"/>
          <w:rtl w:val="0"/>
        </w:rPr>
        <w:t xml:space="preserve">PALABRAS CLAVE:   Proyecto – Ley – Reforma – Artículo 56 bis – Código Procesal - Penal –Exp.  20.020 -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5"/>
        <w:bidi w:val="0"/>
        <w:tblW w:w="22547.000000000004" w:type="dxa"/>
        <w:jc w:val="left"/>
        <w:tblInd w:w="-108.0" w:type="dxa"/>
        <w:tblLayout w:type="fixed"/>
        <w:tblLook w:val="00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6" w:type="default"/>
      <w:headerReference r:id="rId7"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2991, Artículo 12 del 28 de setiembre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