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SCI-591-2016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Edgardo Vargas, Director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MSc. Noidy Salazar Arrieta, Directora DEVESA, ITCR-San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Tomás Guzmán, Representante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28 de setiembre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spacing w:after="0" w:before="0" w:line="240" w:lineRule="auto"/>
              <w:ind w:left="34" w:right="0" w:firstLine="0"/>
              <w:contextualSpacing w:val="0"/>
              <w:jc w:val="both"/>
            </w:pPr>
            <w:r w:rsidDel="00000000" w:rsidR="00000000" w:rsidRPr="00000000">
              <w:rPr>
                <w:rFonts w:ascii="Arial" w:cs="Arial" w:eastAsia="Arial" w:hAnsi="Arial"/>
                <w:b w:val="1"/>
                <w:sz w:val="22"/>
                <w:szCs w:val="22"/>
                <w:vertAlign w:val="baseline"/>
                <w:rtl w:val="0"/>
              </w:rPr>
              <w:t xml:space="preserve">Sesión Ordinaria No. 2991, Artículo 7, del 28 de setiembre de 2016.   Designación de un (a) representante del Consejo Institucional, para el Acto de Graduación No. 248, por celebrarse el próximo 07 de octubre de 2016, a las 11:00 a.m., en el Centro de Transferencia Tecnológica y Educación Continua, San Carlos </w:t>
            </w: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p w:rsidR="00000000" w:rsidDel="00000000" w:rsidP="00000000" w:rsidRDefault="00000000" w:rsidRPr="00000000">
            <w:pPr>
              <w:tabs>
                <w:tab w:val="right" w:pos="2410"/>
                <w:tab w:val="left" w:pos="2694"/>
              </w:tabs>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9 del Reglamento de Normas Generales de Graduación en el Instituto Tecnológico de Costa Rica dispone: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851" w:right="284" w:firstLine="0"/>
        <w:contextualSpacing w:val="0"/>
        <w:jc w:val="both"/>
      </w:pPr>
      <w:r w:rsidDel="00000000" w:rsidR="00000000" w:rsidRPr="00000000">
        <w:rPr>
          <w:rFonts w:ascii="Arial" w:cs="Arial" w:eastAsia="Arial" w:hAnsi="Arial"/>
          <w:i w:val="1"/>
          <w:sz w:val="22"/>
          <w:szCs w:val="22"/>
          <w:vertAlign w:val="baseline"/>
          <w:rtl w:val="0"/>
        </w:rPr>
        <w:t xml:space="preserve">“Los diplomas serán entregados en el Acto de Graduación oficial de la Institución en el cual se tomará el juramento establecido ante los representantes del Consejo Institucional, el Rector y el Director de la carrera correspondiente”</w:t>
      </w: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DEVESA-590-2016, con fecha de recibido 07 de setiembre de 2016, suscrito por MSc. Noidy Salazar Arrieta, Directora DEVESA, ITCR-San Carlos, dirigido al Dr.  Julio César Calvo A., Presidente del Consejo Institucional, en el cual solicita la designación de un (a) representante del Consejo Institucional, para el Acto de Graduación No. 248, por celebrarse el próximo 07 de octubre del 2016, a las 11:00 am., en el Centro de Transferencia Tecnológica y Educación Continua.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Designar al Dr. Tomás Guzmán Hernández, como representante del Consejo Institucional, para que participe en el Acto de Graduación Ordinario No. 248, correspondiente al I Semestre 2016, que se llevará a cabo el 07 de octubre del 2016, Sede Regional San Carlos, en el Centro de Transferencia Tecnológica y Educación Continua, a las 11:00 am.</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ind w:left="360" w:right="-91"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PALABRAS CLAVE: Graduación –  Ordinario – 248- San Carlos -2016</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tbl>
      <w:tblPr>
        <w:tblStyle w:val="Table2"/>
        <w:bidi w:val="0"/>
        <w:tblW w:w="22547.000000000004" w:type="dxa"/>
        <w:jc w:val="left"/>
        <w:tblInd w:w="-108.0" w:type="dxa"/>
        <w:tblLayout w:type="fixed"/>
        <w:tblLook w:val="0000"/>
      </w:tblPr>
      <w:tblGrid>
        <w:gridCol w:w="4361"/>
        <w:gridCol w:w="4361"/>
        <w:gridCol w:w="4361"/>
        <w:gridCol w:w="4361"/>
        <w:gridCol w:w="5103"/>
        <w:tblGridChange w:id="0">
          <w:tblGrid>
            <w:gridCol w:w="4361"/>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2"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2991, Artículo 7, del 28 de setiembre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