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SCI-593-2016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Alejandro Masís, Director Escuela de Administración de Empresas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Jorge Carmona, Representante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28 de setiembre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spacing w:after="0" w:before="0" w:line="240" w:lineRule="auto"/>
              <w:ind w:left="34" w:right="0"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2991, Artículo 9, del 28 de setiembre de 2016.   Designación de un (a) representante del Consejo Institucional, para que asista a la inauguración de la semana TEC Emprende e inauguración del Mercadito Emprendedor, por celebrarse el próximo 03 de octubre de 2016, a las 11:00 a.m., en la Sala de Conferencia de la Biblioteca </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AE-494-2016, con fecha de recibido 21 de setiembre de 2016, suscrito por el Dr. Alejandro Masís Arce, Director de la Escuela de Administración de Empresas,   dirigido al Dr.  Julio César Calvo A., Presidente del Consejo Institucional, en el cual solicita la designación de un (a) representante del Consejo Institucional, para  que asista a la inauguración de la semana Tec Emprende e inauguración del Mercadito Emprendedor, por celebrarse el próximo 03 de octubre del 2016,  en la Sala de Conferencia de la Biblioteca, a las 11:00 am. (Anexo 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Designar al señor Jorge Carmona Chaves, como representante del Consejo Institucional, para que para  que asista a la inauguración de la semana Tec Emprende e inauguración del Mercadito Emprendedor, por celebrarse el próximo 03 de octubre del 2016, en la Sala de Conferencia de la Biblioteca, a las 11.00 am.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 Inauguración  –  TEC Emprende – Mercadito - Emprendedor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22547.000000000004" w:type="dxa"/>
        <w:jc w:val="left"/>
        <w:tblInd w:w="-108.0" w:type="dxa"/>
        <w:tblLayout w:type="fixed"/>
        <w:tblLook w:val="0000"/>
      </w:tblPr>
      <w:tblGrid>
        <w:gridCol w:w="4361"/>
        <w:gridCol w:w="4361"/>
        <w:gridCol w:w="4361"/>
        <w:gridCol w:w="4361"/>
        <w:gridCol w:w="742"/>
        <w:gridCol w:w="4361"/>
        <w:tblGridChange w:id="0">
          <w:tblGrid>
            <w:gridCol w:w="4361"/>
            <w:gridCol w:w="4361"/>
            <w:gridCol w:w="4361"/>
            <w:gridCol w:w="4361"/>
            <w:gridCol w:w="742"/>
            <w:gridCol w:w="4361"/>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r>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OPI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3"/>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2991, Artículo 9 del 28 de setiembre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