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6"/>
          <w:szCs w:val="26"/>
          <w:vertAlign w:val="baseline"/>
          <w:rtl w:val="0"/>
        </w:rPr>
        <w:t xml:space="preserve">SCI-157-2015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Comunicación de acuerdo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39.0" w:type="dxa"/>
        <w:jc w:val="left"/>
        <w:tblLayout w:type="fixed"/>
        <w:tblLook w:val="0000"/>
      </w:tblPr>
      <w:tblGrid>
        <w:gridCol w:w="1418"/>
        <w:gridCol w:w="8221"/>
        <w:tblGridChange w:id="0">
          <w:tblGrid>
            <w:gridCol w:w="1418"/>
            <w:gridCol w:w="822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right" w:pos="2100"/>
                <w:tab w:val="left" w:pos="2694"/>
              </w:tabs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Para: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Dr. Julio Calvo Alvarado, 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MAE. William Vives, Vicerrector de Administración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Ing. Luis Paulino Méndez, Vicerrector de Docencia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Lic. Roy D’Avanzo, Director Departamento Financiero Contable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Licda. Kattia Calderón, Directora Departamento de Aprovisionamiento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MBA. Harold Blanco Leitón, Director del Departamento de Recursos Humanos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Licda. Bertalía Sánchez Salas, Directora Ejecutiva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Secretaría del Consejo Institucional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Instituto Tecnológico de Costa Rica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18 de marzo de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Sesión Ordinaria No. 2910, Artículo 7, del 18 de marzo de 2015.  Autorización de participación, pago de tiquetes aéreos y viáticos, al Dr. Julio Calvo A., quien asistirá al I Foro de Rectores “Prosperidad y Educación: El Desafío de la Cooperación en las Américas- El Rol de las Universidades”, por celebrarse durante los días 9 y 10 de abril, la Ciudad de Panamá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correspondientes se transcribe el acuerdo tomado por el Consejo Institucional, citado en la referencia, el cual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070"/>
        </w:tabs>
        <w:spacing w:after="0" w:before="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CONSIDERANDO QUE: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La Secretaría del Consejo Institucional recibe oficio R-242-2015, con fecha de recibido 17 de marzo de 2015, suscrito por el Dr.  Julio Calvo, Rector, dirigido a la Licda.  Bertalía Sánchez, Directora Ejecutiva de la Secretaría del Consejo Institucional, en el cual solicita someter a consideración y aprobación por parte de las personas miembros del Consejo Institucional, su participación en el I Foro de Rectores “Prosperidad y Educación: El Desafío de la Cooperación en las Américas”-El Rol de las Universidades, por realizarse en Ciudad Panamá, los días 9 y 10 de abril de 2015.   Este evento es organizado conjuntamente  por el Ministerio de Educación de Panamá, la Universidad Tecnológica de Panamá y el Instituto de Tecnología de Georgia (Georgia Tech), con el apoyo de la Comisión Económica para América Latina y el Caribe (CEPAL)  de las Nacionales Unidades y la Organización de los Estados Americanos (OEA).  Adjunta la carta de invitación.  (Anexo 1)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Señala que el Ministerio de Educación de Panamá cubrirá los costos de hospedaje por los días 8, 9 y 10 de abril; sin embargo,  requiere solicitar además, el permiso con goce de salario para los días 8, 9, 10 y 11 de abril.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Asimismo, solicita autorizar el pago de  los  siguientes gastos:  Tiquetes aéreos, impuestos de salida, viáticos (alimentación), el seguro médico y gastos de representación, los que serán tomados de los siguientes centros de costo, pertenecientes al presupuesto de operación de la Rectoría: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185.0" w:type="dxa"/>
        <w:jc w:val="left"/>
        <w:tblInd w:w="45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81"/>
        <w:gridCol w:w="5104"/>
        <w:tblGridChange w:id="0">
          <w:tblGrid>
            <w:gridCol w:w="4081"/>
            <w:gridCol w:w="510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Centro de Costo y objeto de gasto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 gasto 1530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$250    (tiquete aéreo)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$50    (transporte interno)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888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$29     impuestos de salida de Costa Rica)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gasto 1540 (viáticos para alimentación para los días del 8 al 11 de abril)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gasto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1619 (otros seguros)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gasto 1730 (gastos de representación)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$200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$1190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Asimismo, informa que el M.Sc.  Luis Paulino Méndez Badilla, Vicerrector de Docencia, fungirá como Rector Interino, durante los días 09, 10 y 11 de abril del 2015.</w:t>
      </w:r>
    </w:p>
    <w:p w:rsidR="00000000" w:rsidDel="00000000" w:rsidP="00000000" w:rsidRDefault="00000000" w:rsidRPr="00000000">
      <w:pPr>
        <w:ind w:left="35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 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26"/>
        </w:tabs>
        <w:spacing w:before="0" w:lineRule="auto"/>
        <w:ind w:left="42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right="-91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Autorizar el permiso con goce de salario al Dr.  Julio César Calvo Alvarado, Rector, para que participe I Foro de Rectores “Prosperidad y Educación: El Desafío de la Cooperación en las Américas”-El Rol de las Universidades, por realizarse en Ciudad Panamá, del 8 al 11 de abril del año en curso.</w:t>
      </w:r>
    </w:p>
    <w:p w:rsidR="00000000" w:rsidDel="00000000" w:rsidP="00000000" w:rsidRDefault="00000000" w:rsidRPr="00000000">
      <w:pPr>
        <w:spacing w:after="0" w:before="0" w:line="240" w:lineRule="auto"/>
        <w:ind w:left="360" w:right="-9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right="-91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Autorizar el pago de impuestos de tiquetes aéreos, impuestos de salida, viáticos (alimentación) y el seguro médico al Dr.  Julio César Calvo Alvarado, Rector, para que asista I Foro de Rectores “Prosperidad y Educación: El Desafío de la Cooperación en las Américas”-El Rol de las Universidades, por realizarse en Ciudad Panamá, por un monto de $1190 (mil ciento noventa dólares), desglosados de la siguiente manera:</w:t>
      </w:r>
    </w:p>
    <w:p w:rsidR="00000000" w:rsidDel="00000000" w:rsidP="00000000" w:rsidRDefault="00000000" w:rsidRPr="00000000">
      <w:pPr>
        <w:ind w:right="-91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gridCol w:w="5103"/>
        <w:tblGridChange w:id="0">
          <w:tblGrid>
            <w:gridCol w:w="4219"/>
            <w:gridCol w:w="510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Centro de Costo y objeto de gasto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 gasto 1530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    $ 250  (tiquete aéreo)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626"/>
                <w:tab w:val="left" w:pos="768"/>
                <w:tab w:val="right" w:pos="2410"/>
                <w:tab w:val="left" w:pos="2694"/>
              </w:tabs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    $  50   (transporte interno)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760"/>
                <w:tab w:val="right" w:pos="2410"/>
                <w:tab w:val="left" w:pos="2694"/>
              </w:tabs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    $ 29   (impuestos de salida de   Costa Rica)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 $ 329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gasto 1540 (viáticos para alimentación para los días del 8 al 11 de abril)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                   $ 600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gasto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1619 (otros seguros)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                     $ 61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gasto 1730 (gastos de representación)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                   $ 200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                    $ 1190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right="-91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ACUERDO FIRME.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789"/>
        </w:tabs>
        <w:spacing w:after="0" w:before="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PALABRAS CLAVE: 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Autorización - Pago de tiquetes- impuestos de salida-seguro médico-Panamá-2015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-9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BSS/cmpm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464.0" w:type="dxa"/>
        <w:jc w:val="left"/>
        <w:tblInd w:w="-108.0" w:type="dxa"/>
        <w:tblLayout w:type="fixed"/>
        <w:tblLook w:val="0000"/>
      </w:tblPr>
      <w:tblGrid>
        <w:gridCol w:w="4361"/>
        <w:gridCol w:w="5103"/>
        <w:tblGridChange w:id="0">
          <w:tblGrid>
            <w:gridCol w:w="4361"/>
            <w:gridCol w:w="5103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ci.  Secretaría del Consejo Institucional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VIESA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Centro Académico de Limón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Sede Regional San Carlos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Centro Académico San José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Sede Interuniversitaria Alajuela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3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Oficina Asesoría Legal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3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Auditoría Interna (Notificado a la Secretaria vía correo electrónico)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72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Comunicación y Mercadeo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72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Centro de Archivo y Comunicaciones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5840" w:w="12240"/>
      <w:pgMar w:bottom="993" w:top="1985" w:left="1304" w:right="130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913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5029835</wp:posOffset>
          </wp:positionH>
          <wp:positionV relativeFrom="paragraph">
            <wp:posOffset>245110</wp:posOffset>
          </wp:positionV>
          <wp:extent cx="1574800" cy="584200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800" cy="584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COMUNICACIÓN DE ACUERDO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i w:val="1"/>
        <w:sz w:val="18"/>
        <w:szCs w:val="18"/>
        <w:vertAlign w:val="baseline"/>
        <w:rtl w:val="0"/>
      </w:rPr>
      <w:t xml:space="preserve">Sesión Ordinaria No. 2910, Artículo 7, del 18 de marzo de 2015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i w:val="1"/>
        <w:sz w:val="18"/>
        <w:szCs w:val="18"/>
        <w:vertAlign w:val="baseline"/>
        <w:rtl w:val="0"/>
      </w:rPr>
      <w:t xml:space="preserve">Página </w:t>
    </w:r>
    <w:fldSimple w:instr="PAGE" w:fldLock="0" w:dirty="0"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913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5182235</wp:posOffset>
          </wp:positionH>
          <wp:positionV relativeFrom="paragraph">
            <wp:posOffset>565150</wp:posOffset>
          </wp:positionV>
          <wp:extent cx="1574800" cy="584200"/>
          <wp:effectExtent b="0" l="0" r="0" t="0"/>
          <wp:wrapNone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800" cy="584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1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b w:val="1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