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SCI-241-2015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Rector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MAE. William Vives,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de la Sede Regional San Carlos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Grettel Ortiz, Directora, Oficina de Asesoría Legal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Florencio Prendas, Director del Departamento de Servicios Generales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Martín, Directora de la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PhD. Edgar Ortiz, Representante de los Directores de Centros de Investigación e Investigadores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TAE. Carlos Quesada, Coordinador de la Unidad de Transportes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Bach. Erick Palacios, Coordinador de la Unidad de Transportes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de mayo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2915, Artículo 9, del 30 de abril de 2015.  Modificación del acuerdo del Consejo Institucional de la Sesión Ordinaria No. 2914, Artículo 7, del 22 de abril de 2015 “Modificación de los Artículos 1, 4, 7, 16, 22, 23, 24 y 26  del Reglamento de Transportes del Instituto Tecnológico de Costa Rica”, para corregir un error material consignado en la numeración y se lea correctamente “Artículo 2 Objetivos Específicos”  y no “Artículo 1 Objetivos Específicos ”,  y modificar el título de este mismo acuerdo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94" w:hanging="360"/>
        <w:jc w:val="both"/>
        <w:rPr/>
      </w:pPr>
      <w:r w:rsidDel="00000000" w:rsidR="00000000" w:rsidRPr="00000000">
        <w:rPr>
          <w:rFonts w:ascii="Arial" w:cs="Arial" w:eastAsia="Arial" w:hAnsi="Arial"/>
          <w:b w:val="0"/>
          <w:sz w:val="24"/>
          <w:szCs w:val="24"/>
          <w:vertAlign w:val="baseline"/>
          <w:rtl w:val="0"/>
        </w:rPr>
        <w:t xml:space="preserve">El Consejo Institucional, en la Sesión Ordinaria No. 2914, Artículo 7  del 22 de abril de 2015, acordó la modificación de los Artículos </w:t>
      </w:r>
      <w:r w:rsidDel="00000000" w:rsidR="00000000" w:rsidRPr="00000000">
        <w:rPr>
          <w:rFonts w:ascii="Arial" w:cs="Arial" w:eastAsia="Arial" w:hAnsi="Arial"/>
          <w:b w:val="0"/>
          <w:sz w:val="22"/>
          <w:szCs w:val="22"/>
          <w:vertAlign w:val="baseline"/>
          <w:rtl w:val="0"/>
        </w:rPr>
        <w:t xml:space="preserve">1, 4, 7, 16, 22, 23, 24 y 26  del Reglamento de Transportes del Instituto Tecnológico de Costa Rica.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94" w:hanging="360"/>
        <w:jc w:val="both"/>
        <w:rPr/>
      </w:pPr>
      <w:r w:rsidDel="00000000" w:rsidR="00000000" w:rsidRPr="00000000">
        <w:rPr>
          <w:rFonts w:ascii="Arial" w:cs="Arial" w:eastAsia="Arial" w:hAnsi="Arial"/>
          <w:b w:val="0"/>
          <w:color w:val="000000"/>
          <w:sz w:val="24"/>
          <w:szCs w:val="24"/>
          <w:vertAlign w:val="baseline"/>
          <w:rtl w:val="0"/>
        </w:rPr>
        <w:t xml:space="preserve">En dicho acuerdo se indica  la reforma del </w:t>
      </w:r>
      <w:r w:rsidDel="00000000" w:rsidR="00000000" w:rsidRPr="00000000">
        <w:rPr>
          <w:rFonts w:ascii="Arial" w:cs="Arial" w:eastAsia="Arial" w:hAnsi="Arial"/>
          <w:b w:val="1"/>
          <w:color w:val="000000"/>
          <w:sz w:val="24"/>
          <w:szCs w:val="24"/>
          <w:vertAlign w:val="baseline"/>
          <w:rtl w:val="0"/>
        </w:rPr>
        <w:t xml:space="preserve">“Artículo 1</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1"/>
          <w:color w:val="000000"/>
          <w:sz w:val="24"/>
          <w:szCs w:val="24"/>
          <w:vertAlign w:val="baseline"/>
          <w:rtl w:val="0"/>
        </w:rPr>
        <w:t xml:space="preserve">Objetivos Específicos</w:t>
      </w:r>
      <w:r w:rsidDel="00000000" w:rsidR="00000000" w:rsidRPr="00000000">
        <w:rPr>
          <w:rFonts w:ascii="Arial" w:cs="Arial" w:eastAsia="Arial" w:hAnsi="Arial"/>
          <w:b w:val="0"/>
          <w:color w:val="000000"/>
          <w:sz w:val="24"/>
          <w:szCs w:val="24"/>
          <w:vertAlign w:val="baseline"/>
          <w:rtl w:val="0"/>
        </w:rPr>
        <w:t xml:space="preserve">”; no obstante, al momento de proceder con la actualización del citado Reglamento en la  base de Reglamentos de la página Web, se detecta que los objetivos específicos corresponden al Artículo 2, y que el  Artículo1 corresponde  al objetivo general.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94" w:hanging="360"/>
        <w:jc w:val="both"/>
        <w:rPr/>
      </w:pPr>
      <w:r w:rsidDel="00000000" w:rsidR="00000000" w:rsidRPr="00000000">
        <w:rPr>
          <w:rFonts w:ascii="Arial" w:cs="Arial" w:eastAsia="Arial" w:hAnsi="Arial"/>
          <w:b w:val="0"/>
          <w:color w:val="000000"/>
          <w:sz w:val="24"/>
          <w:szCs w:val="24"/>
          <w:vertAlign w:val="baseline"/>
          <w:rtl w:val="0"/>
        </w:rPr>
        <w:t xml:space="preserve">Es necesario proceder con la respectiva corrección para la reforma del Artículo 2, se lea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b w:val="1"/>
          <w:i w:val="1"/>
          <w:color w:val="000000"/>
          <w:sz w:val="22"/>
          <w:szCs w:val="22"/>
          <w:vertAlign w:val="baseline"/>
          <w:rtl w:val="0"/>
        </w:rPr>
        <w:t xml:space="preserve">“Artículo 2.    Objetivos Específicos</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i w:val="1"/>
          <w:color w:val="000000"/>
          <w:sz w:val="22"/>
          <w:szCs w:val="22"/>
          <w:vertAlign w:val="baseline"/>
          <w:rtl w:val="0"/>
        </w:rPr>
        <w:t xml:space="preserve">Para efectos de este Reglamento se tienen los siguientes objetivos específicos:</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tl w:val="0"/>
        </w:rPr>
      </w:r>
    </w:p>
    <w:p w:rsidR="00000000" w:rsidDel="00000000" w:rsidP="00000000" w:rsidRDefault="00000000" w:rsidRPr="00000000">
      <w:pPr>
        <w:numPr>
          <w:ilvl w:val="0"/>
          <w:numId w:val="2"/>
        </w:numPr>
        <w:ind w:left="709" w:hanging="283"/>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Regular el uso, control y mantenimiento de los vehículos propiedad del Instituto Tecnológico de Costa Rica.</w:t>
      </w:r>
      <w:r w:rsidDel="00000000" w:rsidR="00000000" w:rsidRPr="00000000">
        <w:rPr>
          <w:rtl w:val="0"/>
        </w:rPr>
      </w:r>
    </w:p>
    <w:p w:rsidR="00000000" w:rsidDel="00000000" w:rsidP="00000000" w:rsidRDefault="00000000" w:rsidRPr="00000000">
      <w:pPr>
        <w:numPr>
          <w:ilvl w:val="0"/>
          <w:numId w:val="2"/>
        </w:numPr>
        <w:ind w:left="709" w:hanging="283"/>
        <w:jc w:val="both"/>
        <w:rPr>
          <w:rFonts w:ascii="Arial" w:cs="Arial" w:eastAsia="Arial" w:hAnsi="Arial"/>
          <w:b w:val="0"/>
          <w:i w:val="0"/>
          <w:sz w:val="22"/>
          <w:szCs w:val="22"/>
        </w:rPr>
      </w:pPr>
      <w:r w:rsidDel="00000000" w:rsidR="00000000" w:rsidRPr="00000000">
        <w:rPr>
          <w:rFonts w:ascii="Arial" w:cs="Arial" w:eastAsia="Arial" w:hAnsi="Arial"/>
          <w:i w:val="1"/>
          <w:color w:val="000000"/>
          <w:sz w:val="22"/>
          <w:szCs w:val="22"/>
          <w:vertAlign w:val="baseline"/>
          <w:rtl w:val="0"/>
        </w:rPr>
        <w:t xml:space="preserve">Regular el uso y control del servicio de los vehículos contratados por el Instituto Tecnológico de Costa Rica, durante el lapso de la actividad para la cual fue contratado, </w:t>
      </w:r>
      <w:r w:rsidDel="00000000" w:rsidR="00000000" w:rsidRPr="00000000">
        <w:rPr>
          <w:rFonts w:ascii="Arial" w:cs="Arial" w:eastAsia="Arial" w:hAnsi="Arial"/>
          <w:i w:val="1"/>
          <w:sz w:val="22"/>
          <w:szCs w:val="22"/>
          <w:vertAlign w:val="baseline"/>
          <w:rtl w:val="0"/>
        </w:rPr>
        <w:t xml:space="preserve">según la Ley de Tránsito por Vías Públicas Terrestres y Seguridad Vial (Ley 9078).</w:t>
      </w:r>
      <w:r w:rsidDel="00000000" w:rsidR="00000000" w:rsidRPr="00000000">
        <w:rPr>
          <w:rtl w:val="0"/>
        </w:rPr>
      </w:r>
    </w:p>
    <w:p w:rsidR="00000000" w:rsidDel="00000000" w:rsidP="00000000" w:rsidRDefault="00000000" w:rsidRPr="00000000">
      <w:pPr>
        <w:numPr>
          <w:ilvl w:val="0"/>
          <w:numId w:val="2"/>
        </w:numPr>
        <w:ind w:left="709" w:hanging="283"/>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Regular el uso y control de los vehículos propiedad de funcionarios del Instituto Tecnológico de Costa Rica para actividades de interés institucional.”</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acuerdo tomado por el Consejo Institucional, en Sesión Ordinaria No. 2914, Artículo 7, del 22 de abril de 2015, denominado: “Modificación de los Artículos 1, 4, 7, 16, 22, 23, 24 y 26  del Reglamento de Transportes del Instituto Tecnológico de Costa Rica”, para corregir un error material consignado en la numeración y se lea correctamente “</w:t>
      </w:r>
      <w:r w:rsidDel="00000000" w:rsidR="00000000" w:rsidRPr="00000000">
        <w:rPr>
          <w:rFonts w:ascii="Arial" w:cs="Arial" w:eastAsia="Arial" w:hAnsi="Arial"/>
          <w:b w:val="1"/>
          <w:vertAlign w:val="baseline"/>
          <w:rtl w:val="0"/>
        </w:rPr>
        <w:t xml:space="preserve">Artículo 2 Objetivos Específicos</w:t>
      </w:r>
      <w:r w:rsidDel="00000000" w:rsidR="00000000" w:rsidRPr="00000000">
        <w:rPr>
          <w:rFonts w:ascii="Arial" w:cs="Arial" w:eastAsia="Arial" w:hAnsi="Arial"/>
          <w:vertAlign w:val="baseline"/>
          <w:rtl w:val="0"/>
        </w:rPr>
        <w:t xml:space="preserve">” y no </w:t>
      </w:r>
      <w:r w:rsidDel="00000000" w:rsidR="00000000" w:rsidRPr="00000000">
        <w:rPr>
          <w:rFonts w:ascii="Arial" w:cs="Arial" w:eastAsia="Arial" w:hAnsi="Arial"/>
          <w:b w:val="1"/>
          <w:vertAlign w:val="baseline"/>
          <w:rtl w:val="0"/>
        </w:rPr>
        <w:t xml:space="preserve">“Artículo 1 Objetivos Específicos”;</w:t>
      </w:r>
      <w:r w:rsidDel="00000000" w:rsidR="00000000" w:rsidRPr="00000000">
        <w:rPr>
          <w:rFonts w:ascii="Arial" w:cs="Arial" w:eastAsia="Arial" w:hAnsi="Arial"/>
          <w:vertAlign w:val="baseline"/>
          <w:rtl w:val="0"/>
        </w:rPr>
        <w:t xml:space="preserve"> en los siguientes términos:</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Artículo 2.    Objetivos Específicos</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Fonts w:ascii="Arial" w:cs="Arial" w:eastAsia="Arial" w:hAnsi="Arial"/>
          <w:i w:val="1"/>
          <w:vertAlign w:val="baseline"/>
          <w:rtl w:val="0"/>
        </w:rPr>
        <w:t xml:space="preserve">Para efectos de este Reglamento se tienen los siguientes objetivos específicos:</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1"/>
          <w:numId w:val="3"/>
        </w:numPr>
        <w:ind w:left="709" w:right="-91"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Regular el uso, control y mantenimiento de los vehículos propiedad del Instituto Tecnológico de Costa Rica.</w:t>
      </w:r>
      <w:r w:rsidDel="00000000" w:rsidR="00000000" w:rsidRPr="00000000">
        <w:rPr>
          <w:rtl w:val="0"/>
        </w:rPr>
      </w:r>
    </w:p>
    <w:p w:rsidR="00000000" w:rsidDel="00000000" w:rsidP="00000000" w:rsidRDefault="00000000" w:rsidRPr="00000000">
      <w:pPr>
        <w:numPr>
          <w:ilvl w:val="1"/>
          <w:numId w:val="3"/>
        </w:numPr>
        <w:ind w:left="709" w:right="-91"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Regular el uso y control del servicio de los vehículos contratados por el Instituto Tecnológico de Costa Rica, durante el lapso de la actividad para la cual fue contratado, según la Ley de Tránsito por Vías Públicas Terrestres y Seguridad Vial (Ley 9078).</w:t>
      </w:r>
      <w:r w:rsidDel="00000000" w:rsidR="00000000" w:rsidRPr="00000000">
        <w:rPr>
          <w:rtl w:val="0"/>
        </w:rPr>
      </w:r>
    </w:p>
    <w:p w:rsidR="00000000" w:rsidDel="00000000" w:rsidP="00000000" w:rsidRDefault="00000000" w:rsidRPr="00000000">
      <w:pPr>
        <w:numPr>
          <w:ilvl w:val="1"/>
          <w:numId w:val="3"/>
        </w:numPr>
        <w:ind w:left="709" w:right="-91"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Regular el uso y control de los vehículos propiedad de funcionarios del Instituto Tecnológico de Costa Rica para actividades de interés institucional.”</w:t>
      </w:r>
      <w:r w:rsidDel="00000000" w:rsidR="00000000" w:rsidRPr="00000000">
        <w:rPr>
          <w:rtl w:val="0"/>
        </w:rPr>
      </w:r>
    </w:p>
    <w:p w:rsidR="00000000" w:rsidDel="00000000" w:rsidP="00000000" w:rsidRDefault="00000000" w:rsidRPr="00000000">
      <w:pPr>
        <w:ind w:left="709" w:right="-91"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Corregir el título del acuerdo tomado en Sesión Ordinaria No. 2914, Artículo 7, del 22 de abril de 2015, denominado: </w:t>
      </w:r>
      <w:r w:rsidDel="00000000" w:rsidR="00000000" w:rsidRPr="00000000">
        <w:rPr>
          <w:rFonts w:ascii="Arial" w:cs="Arial" w:eastAsia="Arial" w:hAnsi="Arial"/>
          <w:i w:val="1"/>
          <w:vertAlign w:val="baseline"/>
          <w:rtl w:val="0"/>
        </w:rPr>
        <w:t xml:space="preserve">“Modificación de los Artículos </w:t>
      </w:r>
      <w:r w:rsidDel="00000000" w:rsidR="00000000" w:rsidRPr="00000000">
        <w:rPr>
          <w:rFonts w:ascii="Arial" w:cs="Arial" w:eastAsia="Arial" w:hAnsi="Arial"/>
          <w:b w:val="1"/>
          <w:i w:val="1"/>
          <w:vertAlign w:val="baseline"/>
          <w:rtl w:val="0"/>
        </w:rPr>
        <w:t xml:space="preserve">1</w:t>
      </w:r>
      <w:r w:rsidDel="00000000" w:rsidR="00000000" w:rsidRPr="00000000">
        <w:rPr>
          <w:rFonts w:ascii="Arial" w:cs="Arial" w:eastAsia="Arial" w:hAnsi="Arial"/>
          <w:i w:val="1"/>
          <w:vertAlign w:val="baseline"/>
          <w:rtl w:val="0"/>
        </w:rPr>
        <w:t xml:space="preserve">, 4, 7, 16, 22, 23, 24 y 26  del Reglamento de Transportes del Instituto Tecnológico de Costa Rica”, </w:t>
      </w:r>
      <w:r w:rsidDel="00000000" w:rsidR="00000000" w:rsidRPr="00000000">
        <w:rPr>
          <w:rFonts w:ascii="Arial" w:cs="Arial" w:eastAsia="Arial" w:hAnsi="Arial"/>
          <w:vertAlign w:val="baseline"/>
          <w:rtl w:val="0"/>
        </w:rPr>
        <w:t xml:space="preserve">para que se lea:</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Fonts w:ascii="Arial" w:cs="Arial" w:eastAsia="Arial" w:hAnsi="Arial"/>
          <w:vertAlign w:val="baseline"/>
          <w:rtl w:val="0"/>
        </w:rPr>
        <w:t xml:space="preserve">“Modificación de los Artículos </w:t>
      </w:r>
      <w:r w:rsidDel="00000000" w:rsidR="00000000" w:rsidRPr="00000000">
        <w:rPr>
          <w:rFonts w:ascii="Arial" w:cs="Arial" w:eastAsia="Arial" w:hAnsi="Arial"/>
          <w:b w:val="1"/>
          <w:vertAlign w:val="baseline"/>
          <w:rtl w:val="0"/>
        </w:rPr>
        <w:t xml:space="preserve">2, </w:t>
      </w:r>
      <w:r w:rsidDel="00000000" w:rsidR="00000000" w:rsidRPr="00000000">
        <w:rPr>
          <w:rFonts w:ascii="Arial" w:cs="Arial" w:eastAsia="Arial" w:hAnsi="Arial"/>
          <w:vertAlign w:val="baseline"/>
          <w:rtl w:val="0"/>
        </w:rPr>
        <w:t xml:space="preserve">4, 7, 16, 22, 23, 24 y 26  del Reglamento de Transportes del Instituto Tecnológico de Costa Rica.”</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Publicar.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-Modificación- -Acuerdo-  -S2914-   -Reglamento- Transportes-</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2915, Artículo 9, del 30 de abril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4" w:firstLine="33.999999999999986"/>
      </w:pPr>
      <w:rPr>
        <w:rFonts w:ascii="Arial" w:cs="Arial" w:eastAsia="Arial" w:hAnsi="Arial"/>
        <w:b w:val="1"/>
        <w:i w:val="0"/>
        <w:color w:val="000000"/>
        <w:sz w:val="24"/>
        <w:szCs w:val="24"/>
        <w:vertAlign w:val="baseline"/>
      </w:rPr>
    </w:lvl>
    <w:lvl w:ilvl="1">
      <w:start w:val="1"/>
      <w:numFmt w:val="lowerLetter"/>
      <w:lvlText w:val="%2."/>
      <w:lvlJc w:val="left"/>
      <w:pPr>
        <w:ind w:left="1114" w:firstLine="754"/>
      </w:pPr>
      <w:rPr>
        <w:vertAlign w:val="baseline"/>
      </w:rPr>
    </w:lvl>
    <w:lvl w:ilvl="2">
      <w:start w:val="1"/>
      <w:numFmt w:val="lowerRoman"/>
      <w:lvlText w:val="%3."/>
      <w:lvlJc w:val="right"/>
      <w:pPr>
        <w:ind w:left="1834" w:firstLine="1654"/>
      </w:pPr>
      <w:rPr>
        <w:vertAlign w:val="baseline"/>
      </w:rPr>
    </w:lvl>
    <w:lvl w:ilvl="3">
      <w:start w:val="1"/>
      <w:numFmt w:val="decimal"/>
      <w:lvlText w:val="%4."/>
      <w:lvlJc w:val="left"/>
      <w:pPr>
        <w:ind w:left="2554" w:firstLine="2194"/>
      </w:pPr>
      <w:rPr>
        <w:vertAlign w:val="baseline"/>
      </w:rPr>
    </w:lvl>
    <w:lvl w:ilvl="4">
      <w:start w:val="1"/>
      <w:numFmt w:val="lowerLetter"/>
      <w:lvlText w:val="%5."/>
      <w:lvlJc w:val="left"/>
      <w:pPr>
        <w:ind w:left="3274" w:firstLine="2914"/>
      </w:pPr>
      <w:rPr>
        <w:vertAlign w:val="baseline"/>
      </w:rPr>
    </w:lvl>
    <w:lvl w:ilvl="5">
      <w:start w:val="1"/>
      <w:numFmt w:val="lowerRoman"/>
      <w:lvlText w:val="%6."/>
      <w:lvlJc w:val="right"/>
      <w:pPr>
        <w:ind w:left="3994" w:firstLine="3814"/>
      </w:pPr>
      <w:rPr>
        <w:vertAlign w:val="baseline"/>
      </w:rPr>
    </w:lvl>
    <w:lvl w:ilvl="6">
      <w:start w:val="1"/>
      <w:numFmt w:val="decimal"/>
      <w:lvlText w:val="%7."/>
      <w:lvlJc w:val="left"/>
      <w:pPr>
        <w:ind w:left="4714" w:firstLine="4354"/>
      </w:pPr>
      <w:rPr>
        <w:vertAlign w:val="baseline"/>
      </w:rPr>
    </w:lvl>
    <w:lvl w:ilvl="7">
      <w:start w:val="1"/>
      <w:numFmt w:val="lowerLetter"/>
      <w:lvlText w:val="%8."/>
      <w:lvlJc w:val="left"/>
      <w:pPr>
        <w:ind w:left="5434" w:firstLine="5074"/>
      </w:pPr>
      <w:rPr>
        <w:vertAlign w:val="baseline"/>
      </w:rPr>
    </w:lvl>
    <w:lvl w:ilvl="8">
      <w:start w:val="1"/>
      <w:numFmt w:val="lowerRoman"/>
      <w:lvlText w:val="%9."/>
      <w:lvlJc w:val="right"/>
      <w:pPr>
        <w:ind w:left="6154" w:firstLine="5974"/>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360" w:firstLine="0"/>
      </w:pPr>
      <w:rPr>
        <w:b w:val="1"/>
        <w:i w:val="0"/>
        <w:strike w:val="0"/>
        <w:color w:val="00000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