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SCI-657-2015</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639.0" w:type="dxa"/>
        <w:jc w:val="left"/>
        <w:tblLayout w:type="fixed"/>
        <w:tblLook w:val="0000"/>
      </w:tblPr>
      <w:tblGrid>
        <w:gridCol w:w="1418"/>
        <w:gridCol w:w="8221"/>
        <w:tblGridChange w:id="0">
          <w:tblGrid>
            <w:gridCol w:w="1418"/>
            <w:gridCol w:w="8221"/>
          </w:tblGrid>
        </w:tblGridChange>
      </w:tblGrid>
      <w:tr>
        <w:tc>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Dr. Julio Calvo Alvarado, Rector</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Srita. Rebeca Madriz Romero, Presidenta FEITEC</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Dra. Claudia Madrizova, Vicerrectora de Vida Estudiantil y Servicios Académicos</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MBA. Humberto Villalta, Vicerrector Administración</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 Roy D’Avanzo, Director Departamento Financiero Contable</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vertAlign w:val="baseline"/>
                <w:rtl w:val="0"/>
              </w:rPr>
              <w:t xml:space="preserve">MAU. Tatiana Fernández, Directora, Oficina Planificación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vertAlign w:val="baseline"/>
                <w:rtl w:val="0"/>
              </w:rPr>
              <w:t xml:space="preserve">Máster Lorena Somarribas, Auditora Interna a.i.</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21 de octubre de 2015</w:t>
            </w:r>
            <w:r w:rsidDel="00000000" w:rsidR="00000000" w:rsidRPr="00000000">
              <w:rPr>
                <w:rtl w:val="0"/>
              </w:rPr>
            </w:r>
          </w:p>
        </w:tc>
      </w:tr>
      <w:tr>
        <w:trPr>
          <w:trHeight w:val="28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p w:rsidR="00000000" w:rsidDel="00000000" w:rsidP="00000000" w:rsidRDefault="00000000" w:rsidRPr="00000000">
            <w:pPr>
              <w:tabs>
                <w:tab w:val="right" w:pos="2410"/>
                <w:tab w:val="left" w:pos="2694"/>
              </w:tabs>
              <w:contextualSpacing w:val="0"/>
              <w:jc w:val="both"/>
            </w:pPr>
            <w:r w:rsidDel="00000000" w:rsidR="00000000" w:rsidRPr="00000000">
              <w:rPr>
                <w:rFonts w:ascii="Arial" w:cs="Arial" w:eastAsia="Arial" w:hAnsi="Arial"/>
                <w:b w:val="1"/>
                <w:sz w:val="22"/>
                <w:szCs w:val="22"/>
                <w:vertAlign w:val="baseline"/>
                <w:rtl w:val="0"/>
              </w:rPr>
              <w:t xml:space="preserve">Sesión Ordinaria No. 2943, Artículo 10, del 21 de octubre de 2015. Solicitud de formulación presupuestaria FEITEC, a partir del periodo 2016, sobre el FEES Institucional, para el fortalecimiento de las actividades realizadas por la FEITEC  </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24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Rule="auto"/>
        <w:contextualSpacing w:val="0"/>
        <w:jc w:val="both"/>
      </w:pPr>
      <w:r w:rsidDel="00000000" w:rsidR="00000000" w:rsidRPr="00000000">
        <w:rPr>
          <w:rFonts w:ascii="Arial" w:cs="Arial" w:eastAsia="Arial" w:hAnsi="Arial"/>
          <w:b w:val="1"/>
          <w:vertAlign w:val="baseline"/>
          <w:rtl w:val="0"/>
        </w:rPr>
        <w:t xml:space="preserve">RESULTANDO QUE:</w:t>
      </w:r>
      <w:r w:rsidDel="00000000" w:rsidR="00000000" w:rsidRPr="00000000">
        <w:rPr>
          <w:rtl w:val="0"/>
        </w:rPr>
      </w:r>
    </w:p>
    <w:p w:rsidR="00000000" w:rsidDel="00000000" w:rsidP="00000000" w:rsidRDefault="00000000" w:rsidRPr="00000000">
      <w:pPr>
        <w:spacing w:before="0" w:lineRule="auto"/>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240" w:lineRule="auto"/>
        <w:ind w:left="334" w:hanging="357"/>
        <w:jc w:val="both"/>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El Artículo 109 del Estatuto Orgánico del Instituto Tecnológico de Costa Rica, establece lo siguiente:</w:t>
      </w:r>
      <w:r w:rsidDel="00000000" w:rsidR="00000000" w:rsidRPr="00000000">
        <w:rPr>
          <w:rtl w:val="0"/>
        </w:rPr>
      </w:r>
    </w:p>
    <w:p w:rsidR="00000000" w:rsidDel="00000000" w:rsidP="00000000" w:rsidRDefault="00000000" w:rsidRPr="00000000">
      <w:pPr>
        <w:spacing w:after="0" w:before="0" w:line="240" w:lineRule="auto"/>
        <w:ind w:left="-23" w:firstLine="0"/>
        <w:contextualSpacing w:val="0"/>
        <w:jc w:val="both"/>
      </w:pPr>
      <w:r w:rsidDel="00000000" w:rsidR="00000000" w:rsidRPr="00000000">
        <w:rPr>
          <w:rtl w:val="0"/>
        </w:rPr>
      </w:r>
    </w:p>
    <w:p w:rsidR="00000000" w:rsidDel="00000000" w:rsidP="00000000" w:rsidRDefault="00000000" w:rsidRPr="00000000">
      <w:pPr>
        <w:ind w:left="992" w:right="567" w:hanging="10.999999999999943"/>
        <w:contextualSpacing w:val="0"/>
        <w:jc w:val="both"/>
      </w:pPr>
      <w:r w:rsidDel="00000000" w:rsidR="00000000" w:rsidRPr="00000000">
        <w:rPr>
          <w:rFonts w:ascii="Arial" w:cs="Arial" w:eastAsia="Arial" w:hAnsi="Arial"/>
          <w:i w:val="1"/>
          <w:sz w:val="22"/>
          <w:szCs w:val="22"/>
          <w:vertAlign w:val="baseline"/>
          <w:rtl w:val="0"/>
        </w:rPr>
        <w:t xml:space="preserve">“Artículo 109: La Federación de Estudiantes del Instituto Tecnológico de Costa Rica contará con un presupuesto formado por las cuotas correspondientes por derechos de matrícula y las sumas que el Consejo Institucional, de acuerdo con las necesidades y las disponibilidades presupuestarias del Instituto, le asigne.”</w:t>
      </w:r>
      <w:r w:rsidDel="00000000" w:rsidR="00000000" w:rsidRPr="00000000">
        <w:rPr>
          <w:rtl w:val="0"/>
        </w:rPr>
      </w:r>
    </w:p>
    <w:p w:rsidR="00000000" w:rsidDel="00000000" w:rsidP="00000000" w:rsidRDefault="00000000" w:rsidRPr="00000000">
      <w:pPr>
        <w:ind w:left="992" w:right="567" w:hanging="10.999999999999943"/>
        <w:contextualSpacing w:val="0"/>
        <w:jc w:val="both"/>
      </w:pPr>
      <w:r w:rsidDel="00000000" w:rsidR="00000000" w:rsidRPr="00000000">
        <w:rPr>
          <w:rtl w:val="0"/>
        </w:rPr>
      </w:r>
    </w:p>
    <w:p w:rsidR="00000000" w:rsidDel="00000000" w:rsidP="00000000" w:rsidRDefault="00000000" w:rsidRPr="00000000">
      <w:pPr>
        <w:numPr>
          <w:ilvl w:val="0"/>
          <w:numId w:val="3"/>
        </w:numPr>
        <w:spacing w:after="120" w:before="0" w:line="240" w:lineRule="auto"/>
        <w:ind w:left="334" w:hanging="357"/>
        <w:jc w:val="both"/>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En la Sesión Ordinaria número 2941 del Consejo Institucional, el estudiante José Mauricio Montero Pérez presenta sus inquietudes y dudas sobre la propuesta presentada, por lo que se acoge al Artículo 58 del Reglamento del Consejo Institucional el cual establece lo siguiente.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992" w:right="567" w:hanging="10.999999999999943"/>
        <w:contextualSpacing w:val="0"/>
        <w:jc w:val="both"/>
      </w:pPr>
      <w:r w:rsidDel="00000000" w:rsidR="00000000" w:rsidRPr="00000000">
        <w:rPr>
          <w:rFonts w:ascii="Arial" w:cs="Arial" w:eastAsia="Arial" w:hAnsi="Arial"/>
          <w:i w:val="1"/>
          <w:sz w:val="22"/>
          <w:szCs w:val="22"/>
          <w:vertAlign w:val="baseline"/>
          <w:rtl w:val="0"/>
        </w:rPr>
        <w:t xml:space="preserve">“Artículo 58: Cuando alguna persona integrante del Consejo Institucional desee estudiar más un asunto, que se va a someter a votación, podrá solicitar por moción de orden la postergación hasta por cuatro sesiones ordinarias, esta solicitud se podrá hacer por una única vez. </w:t>
      </w:r>
      <w:r w:rsidDel="00000000" w:rsidR="00000000" w:rsidRPr="00000000">
        <w:rPr>
          <w:rtl w:val="0"/>
        </w:rPr>
      </w:r>
    </w:p>
    <w:p w:rsidR="00000000" w:rsidDel="00000000" w:rsidP="00000000" w:rsidRDefault="00000000" w:rsidRPr="00000000">
      <w:pPr>
        <w:ind w:left="992" w:right="567" w:hanging="10.999999999999943"/>
        <w:contextualSpacing w:val="0"/>
        <w:jc w:val="both"/>
      </w:pPr>
      <w:r w:rsidDel="00000000" w:rsidR="00000000" w:rsidRPr="00000000">
        <w:rPr>
          <w:rtl w:val="0"/>
        </w:rPr>
      </w:r>
    </w:p>
    <w:p w:rsidR="00000000" w:rsidDel="00000000" w:rsidP="00000000" w:rsidRDefault="00000000" w:rsidRPr="00000000">
      <w:pPr>
        <w:ind w:left="992" w:right="567" w:hanging="10.999999999999943"/>
        <w:contextualSpacing w:val="0"/>
        <w:jc w:val="both"/>
      </w:pPr>
      <w:r w:rsidDel="00000000" w:rsidR="00000000" w:rsidRPr="00000000">
        <w:rPr>
          <w:rtl w:val="0"/>
        </w:rPr>
      </w:r>
    </w:p>
    <w:p w:rsidR="00000000" w:rsidDel="00000000" w:rsidP="00000000" w:rsidRDefault="00000000" w:rsidRPr="00000000">
      <w:pPr>
        <w:ind w:left="992" w:right="567" w:hanging="10.999999999999943"/>
        <w:contextualSpacing w:val="0"/>
        <w:jc w:val="both"/>
      </w:pPr>
      <w:r w:rsidDel="00000000" w:rsidR="00000000" w:rsidRPr="00000000">
        <w:rPr>
          <w:rFonts w:ascii="Arial" w:cs="Arial" w:eastAsia="Arial" w:hAnsi="Arial"/>
          <w:i w:val="1"/>
          <w:sz w:val="22"/>
          <w:szCs w:val="22"/>
          <w:vertAlign w:val="baseline"/>
          <w:rtl w:val="0"/>
        </w:rPr>
        <w:t xml:space="preserve">En caso de que el Consejo Institucional presente una variación en los integrantes que lo conforman, las personas integrantes nuevas podrán solicitar una prórroga adicional hasta un máximo de dos sesiones ordinarias. </w:t>
        <w:br w:type="textWrapping"/>
        <w:t xml:space="preserve">Solamente por moción de orden se podrá declarar urgente un asunto, para lo cual requerirá el voto afirmativo de dos tercios del total de los miembros del Consejo Institucional. ”</w:t>
      </w:r>
      <w:r w:rsidDel="00000000" w:rsidR="00000000" w:rsidRPr="00000000">
        <w:rPr>
          <w:rtl w:val="0"/>
        </w:rPr>
      </w:r>
    </w:p>
    <w:p w:rsidR="00000000" w:rsidDel="00000000" w:rsidP="00000000" w:rsidRDefault="00000000" w:rsidRPr="00000000">
      <w:pPr>
        <w:ind w:left="992" w:right="567" w:hanging="10.999999999999943"/>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240" w:lineRule="auto"/>
        <w:ind w:left="334" w:hanging="357"/>
        <w:jc w:val="both"/>
        <w:rPr>
          <w:rFonts w:ascii="Arial" w:cs="Arial" w:eastAsia="Arial" w:hAnsi="Arial"/>
          <w:b w:val="0"/>
          <w:sz w:val="22"/>
          <w:szCs w:val="22"/>
        </w:rPr>
      </w:pPr>
      <w:r w:rsidDel="00000000" w:rsidR="00000000" w:rsidRPr="00000000">
        <w:rPr>
          <w:rFonts w:ascii="Arial" w:cs="Arial" w:eastAsia="Arial" w:hAnsi="Arial"/>
          <w:b w:val="0"/>
          <w:sz w:val="22"/>
          <w:szCs w:val="22"/>
          <w:vertAlign w:val="baseline"/>
          <w:rtl w:val="0"/>
        </w:rPr>
        <w:t xml:space="preserve">A raíz de este proceso, el estudiante representante estudiantil José Mauricio Montero Pérez, genera un proceso de discusión y diálogo para generar una contra propuesta sustitutiva a la presentada en la Sesión No. 2941 del 8 de octubre de 2015,  con el afán de resguardar la autonomía de la Federación, tratando de promover y fortalecer el quehacer orgánico de la Federación con un presupuesto robusto y fortalecido.</w:t>
      </w:r>
    </w:p>
    <w:p w:rsidR="00000000" w:rsidDel="00000000" w:rsidP="00000000" w:rsidRDefault="00000000" w:rsidRPr="00000000">
      <w:pPr>
        <w:spacing w:after="0" w:before="0" w:line="240" w:lineRule="auto"/>
        <w:ind w:left="-23" w:firstLine="0"/>
        <w:contextualSpacing w:val="0"/>
        <w:jc w:val="both"/>
      </w:pPr>
      <w:r w:rsidDel="00000000" w:rsidR="00000000" w:rsidRPr="00000000">
        <w:rPr>
          <w:rtl w:val="0"/>
        </w:rPr>
      </w:r>
    </w:p>
    <w:p w:rsidR="00000000" w:rsidDel="00000000" w:rsidP="00000000" w:rsidRDefault="00000000" w:rsidRPr="00000000">
      <w:pPr>
        <w:spacing w:after="200" w:line="276" w:lineRule="auto"/>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2"/>
        </w:numPr>
        <w:spacing w:after="0" w:before="0" w:line="240" w:lineRule="auto"/>
        <w:ind w:left="426" w:hanging="426"/>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Con el crecimiento que el Instituto ha experimentado en años recientes tanto dentro como fuera de la Sede Central, la Federación de Estudiantes ha venido generando experiencias y detectando oportunidades de mejora para tratar de fortalecer el presupuesto del Movimiento Estudiantil y poder así satisfacer las necesidades de la FEITEC.</w:t>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tbl>
      <w:tblPr>
        <w:tblStyle w:val="Table2"/>
        <w:bidi w:val="0"/>
        <w:tblW w:w="7468.0" w:type="dxa"/>
        <w:jc w:val="left"/>
        <w:tblInd w:w="6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49"/>
        <w:gridCol w:w="1275"/>
        <w:gridCol w:w="1276"/>
        <w:gridCol w:w="1134"/>
        <w:gridCol w:w="1134"/>
        <w:tblGridChange w:id="0">
          <w:tblGrid>
            <w:gridCol w:w="2649"/>
            <w:gridCol w:w="1275"/>
            <w:gridCol w:w="1276"/>
            <w:gridCol w:w="1134"/>
            <w:gridCol w:w="1134"/>
          </w:tblGrid>
        </w:tblGridChange>
      </w:tblGrid>
      <w:tr>
        <w:tc>
          <w:tcPr/>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Sede/Año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2011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2012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2013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2014</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Centro Académico San José</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550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539</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579</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580</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Sede San Carlos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613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622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761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811</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Sede Cartago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5902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6300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6723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7046</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Sede 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26</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42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108</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114</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Sede Limón</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tabs>
                <w:tab w:val="left" w:pos="480"/>
              </w:tabs>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83</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Total</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7091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7503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8171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8634</w:t>
            </w:r>
            <w:r w:rsidDel="00000000" w:rsidR="00000000" w:rsidRPr="00000000">
              <w:rPr>
                <w:rtl w:val="0"/>
              </w:rPr>
            </w:r>
          </w:p>
        </w:tc>
      </w:tr>
    </w:tbl>
    <w:p w:rsidR="00000000" w:rsidDel="00000000" w:rsidP="00000000" w:rsidRDefault="00000000" w:rsidRPr="00000000">
      <w:pPr>
        <w:ind w:left="720" w:firstLine="0"/>
        <w:contextualSpacing w:val="0"/>
        <w:jc w:val="both"/>
      </w:pPr>
      <w:r w:rsidDel="00000000" w:rsidR="00000000" w:rsidRPr="00000000">
        <w:rPr>
          <w:rFonts w:ascii="Arial" w:cs="Arial" w:eastAsia="Arial" w:hAnsi="Arial"/>
          <w:sz w:val="18"/>
          <w:szCs w:val="18"/>
          <w:vertAlign w:val="baseline"/>
          <w:rtl w:val="0"/>
        </w:rPr>
        <w:t xml:space="preserve">El índice crecimiento en el periodo del 2011-2014 es de: %17.88. Datos tomados del VAD-245-2015</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426" w:hanging="426"/>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El oficio VAD-245-2015 muestra el proceso y análisis de importantes temas como aumento de matrícula, transferencias a la FEITEC y ADERTEC, cómo se financia el presupuesto actual (estudiantes regulares y estudiantes de FUNDATEC), así como los futuros escenarios que podría tener un aumento gradual del presupuesto tal y como lo expone el siguiente recuadro tomado de este documento.</w:t>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tbl>
      <w:tblPr>
        <w:tblStyle w:val="Table3"/>
        <w:bidi w:val="0"/>
        <w:tblW w:w="9236.0" w:type="dxa"/>
        <w:jc w:val="left"/>
        <w:tblInd w:w="-70.0" w:type="dxa"/>
        <w:tblLayout w:type="fixed"/>
        <w:tblLook w:val="0000"/>
      </w:tblPr>
      <w:tblGrid>
        <w:gridCol w:w="630"/>
        <w:gridCol w:w="1829"/>
        <w:gridCol w:w="1375"/>
        <w:gridCol w:w="1782"/>
        <w:gridCol w:w="1791"/>
        <w:gridCol w:w="1829"/>
        <w:tblGridChange w:id="0">
          <w:tblGrid>
            <w:gridCol w:w="630"/>
            <w:gridCol w:w="1829"/>
            <w:gridCol w:w="1375"/>
            <w:gridCol w:w="1782"/>
            <w:gridCol w:w="1791"/>
            <w:gridCol w:w="1829"/>
          </w:tblGrid>
        </w:tblGridChange>
      </w:tblGrid>
      <w:tr>
        <w:trPr>
          <w:trHeight w:val="300" w:hRule="atLeast"/>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Año</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Monto de Transferencia</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 de crecimiento </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FSDE</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Total Presupuesto FEITEC</w:t>
            </w:r>
            <w:r w:rsidDel="00000000" w:rsidR="00000000" w:rsidRPr="00000000">
              <w:rPr>
                <w:rtl w:val="0"/>
              </w:rPr>
            </w:r>
          </w:p>
        </w:tc>
      </w:tr>
      <w:tr>
        <w:trPr>
          <w:trHeight w:val="900"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FESTEC</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ffffff"/>
          </w:tcPr>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Viajes Representación Estudiantil</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contextualSpacing w:val="0"/>
              <w:jc w:val="right"/>
            </w:pP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vertAlign w:val="baseline"/>
                <w:rtl w:val="0"/>
              </w:rPr>
              <w:t xml:space="preserve">2015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22"/>
                <w:szCs w:val="22"/>
                <w:vertAlign w:val="baseline"/>
                <w:rtl w:val="0"/>
              </w:rPr>
              <w:t xml:space="preserve">₡24.830.700,00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vertAlign w:val="baseline"/>
                <w:rtl w:val="0"/>
              </w:rPr>
              <w:t xml:space="preserve">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22"/>
                <w:szCs w:val="22"/>
                <w:vertAlign w:val="baseline"/>
                <w:rtl w:val="0"/>
              </w:rPr>
              <w:t xml:space="preserve">₡24.830.700,00</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ffffff"/>
          </w:tcPr>
          <w:p w:rsidR="00000000" w:rsidDel="00000000" w:rsidP="00000000" w:rsidRDefault="00000000" w:rsidRPr="00000000">
            <w:pPr>
              <w:contextualSpacing w:val="0"/>
              <w:jc w:val="right"/>
            </w:pPr>
            <w:r w:rsidDel="00000000" w:rsidR="00000000" w:rsidRPr="00000000">
              <w:rPr>
                <w:rFonts w:ascii="Arial" w:cs="Arial" w:eastAsia="Arial" w:hAnsi="Arial"/>
                <w:sz w:val="22"/>
                <w:szCs w:val="22"/>
                <w:vertAlign w:val="baseline"/>
                <w:rtl w:val="0"/>
              </w:rPr>
              <w:t xml:space="preserve">₡7.000.000,00</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22"/>
                <w:szCs w:val="22"/>
                <w:vertAlign w:val="baseline"/>
                <w:rtl w:val="0"/>
              </w:rPr>
              <w:t xml:space="preserve">₡56.661.400,00</w:t>
            </w: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vertAlign w:val="baseline"/>
                <w:rtl w:val="0"/>
              </w:rPr>
              <w:t xml:space="preserve">2016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22"/>
                <w:szCs w:val="22"/>
                <w:vertAlign w:val="baseline"/>
                <w:rtl w:val="0"/>
              </w:rPr>
              <w:t xml:space="preserve">₡60.000.000,00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vertAlign w:val="baseline"/>
                <w:rtl w:val="0"/>
              </w:rPr>
              <w:t xml:space="preserve">141,64%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22"/>
                <w:szCs w:val="22"/>
                <w:vertAlign w:val="baseline"/>
                <w:rtl w:val="0"/>
              </w:rPr>
              <w:t xml:space="preserve">₡26.250.000,00</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ffffff"/>
          </w:tcPr>
          <w:p w:rsidR="00000000" w:rsidDel="00000000" w:rsidP="00000000" w:rsidRDefault="00000000" w:rsidRPr="00000000">
            <w:pPr>
              <w:contextualSpacing w:val="0"/>
              <w:jc w:val="right"/>
            </w:pPr>
            <w:r w:rsidDel="00000000" w:rsidR="00000000" w:rsidRPr="00000000">
              <w:rPr>
                <w:rFonts w:ascii="Arial" w:cs="Arial" w:eastAsia="Arial" w:hAnsi="Arial"/>
                <w:sz w:val="22"/>
                <w:szCs w:val="22"/>
                <w:vertAlign w:val="baseline"/>
                <w:rtl w:val="0"/>
              </w:rPr>
              <w:t xml:space="preserve">₡2.500.000,00</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22"/>
                <w:szCs w:val="22"/>
                <w:vertAlign w:val="baseline"/>
                <w:rtl w:val="0"/>
              </w:rPr>
              <w:t xml:space="preserve">₡88.750.000,00</w:t>
            </w: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vertAlign w:val="baseline"/>
                <w:rtl w:val="0"/>
              </w:rPr>
              <w:t xml:space="preserve">2017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22"/>
                <w:szCs w:val="22"/>
                <w:vertAlign w:val="baseline"/>
                <w:rtl w:val="0"/>
              </w:rPr>
              <w:t xml:space="preserve">₡80.000.000,00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vertAlign w:val="baseline"/>
                <w:rtl w:val="0"/>
              </w:rPr>
              <w:t xml:space="preserve">33,33%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22"/>
                <w:szCs w:val="22"/>
                <w:vertAlign w:val="baseline"/>
                <w:rtl w:val="0"/>
              </w:rPr>
              <w:t xml:space="preserve">₡27.562.500,00</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contextualSpacing w:val="0"/>
              <w:jc w:val="right"/>
            </w:pPr>
            <w:r w:rsidDel="00000000" w:rsidR="00000000" w:rsidRPr="00000000">
              <w:rPr>
                <w:rFonts w:ascii="Arial" w:cs="Arial" w:eastAsia="Arial" w:hAnsi="Arial"/>
                <w:sz w:val="22"/>
                <w:szCs w:val="22"/>
                <w:vertAlign w:val="baseline"/>
                <w:rtl w:val="0"/>
              </w:rPr>
              <w:t xml:space="preserve">₡2.625.000,00</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22"/>
                <w:szCs w:val="22"/>
                <w:vertAlign w:val="baseline"/>
                <w:rtl w:val="0"/>
              </w:rPr>
              <w:t xml:space="preserve">₡110.187.500,00</w:t>
            </w: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vertAlign w:val="baseline"/>
                <w:rtl w:val="0"/>
              </w:rPr>
              <w:t xml:space="preserve">2018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22"/>
                <w:szCs w:val="22"/>
                <w:vertAlign w:val="baseline"/>
                <w:rtl w:val="0"/>
              </w:rPr>
              <w:t xml:space="preserve">₡100.000.000,00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vertAlign w:val="baseline"/>
                <w:rtl w:val="0"/>
              </w:rPr>
              <w:t xml:space="preserve">25,00%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22"/>
                <w:szCs w:val="22"/>
                <w:vertAlign w:val="baseline"/>
                <w:rtl w:val="0"/>
              </w:rPr>
              <w:t xml:space="preserve">₡28.940.625,00</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ffffff"/>
          </w:tcPr>
          <w:p w:rsidR="00000000" w:rsidDel="00000000" w:rsidP="00000000" w:rsidRDefault="00000000" w:rsidRPr="00000000">
            <w:pPr>
              <w:contextualSpacing w:val="0"/>
              <w:jc w:val="right"/>
            </w:pPr>
            <w:r w:rsidDel="00000000" w:rsidR="00000000" w:rsidRPr="00000000">
              <w:rPr>
                <w:rFonts w:ascii="Arial" w:cs="Arial" w:eastAsia="Arial" w:hAnsi="Arial"/>
                <w:sz w:val="22"/>
                <w:szCs w:val="22"/>
                <w:vertAlign w:val="baseline"/>
                <w:rtl w:val="0"/>
              </w:rPr>
              <w:t xml:space="preserve">₡2.756.250,00</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22"/>
                <w:szCs w:val="22"/>
                <w:vertAlign w:val="baseline"/>
                <w:rtl w:val="0"/>
              </w:rPr>
              <w:t xml:space="preserve">₡131.696.875,00</w:t>
            </w:r>
            <w:r w:rsidDel="00000000" w:rsidR="00000000" w:rsidRPr="00000000">
              <w:rPr>
                <w:rtl w:val="0"/>
              </w:rPr>
            </w:r>
          </w:p>
        </w:tc>
      </w:tr>
    </w:tbl>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numPr>
          <w:ilvl w:val="0"/>
          <w:numId w:val="5"/>
        </w:numPr>
        <w:tabs>
          <w:tab w:val="left" w:pos="284"/>
        </w:tabs>
        <w:spacing w:after="0" w:before="0" w:line="259" w:lineRule="auto"/>
        <w:ind w:left="720" w:hanging="360"/>
        <w:contextualSpacing w:val="1"/>
        <w:jc w:val="both"/>
        <w:rPr>
          <w:rFonts w:ascii="Arial" w:cs="Arial" w:eastAsia="Arial" w:hAnsi="Arial"/>
          <w:b w:val="0"/>
          <w:i w:val="0"/>
          <w:sz w:val="24"/>
          <w:szCs w:val="24"/>
        </w:rPr>
      </w:pPr>
      <w:r w:rsidDel="00000000" w:rsidR="00000000" w:rsidRPr="00000000">
        <w:rPr>
          <w:rFonts w:ascii="Arial" w:cs="Arial" w:eastAsia="Arial" w:hAnsi="Arial"/>
          <w:b w:val="0"/>
          <w:i w:val="1"/>
          <w:sz w:val="24"/>
          <w:szCs w:val="24"/>
          <w:vertAlign w:val="baseline"/>
          <w:rtl w:val="0"/>
        </w:rPr>
        <w:t xml:space="preserve">Este documento establece una serie de recomendaciones que se deberá seguir para que el aumento de presupuesto sea viable en el tiempo, se copia literal los acuerdos a los que llega la comisión plasmados en el VAD 245-2015.</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spacing w:after="0" w:before="0" w:line="360" w:lineRule="auto"/>
        <w:ind w:left="708" w:right="-93" w:firstLine="0"/>
        <w:contextualSpacing w:val="0"/>
        <w:jc w:val="both"/>
      </w:pPr>
      <w:r w:rsidDel="00000000" w:rsidR="00000000" w:rsidRPr="00000000">
        <w:rPr>
          <w:rFonts w:ascii="Arial" w:cs="Arial" w:eastAsia="Arial" w:hAnsi="Arial"/>
          <w:b w:val="0"/>
          <w:i w:val="1"/>
          <w:sz w:val="24"/>
          <w:szCs w:val="24"/>
          <w:vertAlign w:val="baseline"/>
          <w:rtl w:val="0"/>
        </w:rPr>
        <w:t xml:space="preserve">…</w:t>
      </w:r>
      <w:r w:rsidDel="00000000" w:rsidR="00000000" w:rsidRPr="00000000">
        <w:rPr>
          <w:rtl w:val="0"/>
        </w:rPr>
      </w:r>
    </w:p>
    <w:p w:rsidR="00000000" w:rsidDel="00000000" w:rsidP="00000000" w:rsidRDefault="00000000" w:rsidRPr="00000000">
      <w:pPr>
        <w:numPr>
          <w:ilvl w:val="0"/>
          <w:numId w:val="5"/>
        </w:numPr>
        <w:tabs>
          <w:tab w:val="left" w:pos="284"/>
        </w:tabs>
        <w:spacing w:after="160" w:before="0" w:line="259" w:lineRule="auto"/>
        <w:ind w:left="720" w:hanging="360"/>
        <w:contextualSpacing w:val="1"/>
        <w:jc w:val="both"/>
        <w:rPr>
          <w:rFonts w:ascii="Arial" w:cs="Arial" w:eastAsia="Arial" w:hAnsi="Arial"/>
          <w:b w:val="0"/>
          <w:i w:val="0"/>
          <w:sz w:val="24"/>
          <w:szCs w:val="24"/>
        </w:rPr>
      </w:pPr>
      <w:r w:rsidDel="00000000" w:rsidR="00000000" w:rsidRPr="00000000">
        <w:rPr>
          <w:rFonts w:ascii="Arial" w:cs="Arial" w:eastAsia="Arial" w:hAnsi="Arial"/>
          <w:b w:val="0"/>
          <w:i w:val="1"/>
          <w:sz w:val="24"/>
          <w:szCs w:val="24"/>
          <w:vertAlign w:val="baseline"/>
          <w:rtl w:val="0"/>
        </w:rPr>
        <w:t xml:space="preserve">Que los montos de presupuesto asignados a la FEITEC en los siguientes años sean los contemplados en la siguiente tabla, en atención al artículo109 del Estatuto Orgánico del ITCR.</w:t>
      </w:r>
      <w:r w:rsidDel="00000000" w:rsidR="00000000" w:rsidRPr="00000000">
        <w:rPr>
          <w:rtl w:val="0"/>
        </w:rPr>
      </w:r>
    </w:p>
    <w:tbl>
      <w:tblPr>
        <w:tblStyle w:val="Table4"/>
        <w:bidi w:val="0"/>
        <w:tblW w:w="9236.0" w:type="dxa"/>
        <w:jc w:val="left"/>
        <w:tblInd w:w="-70.0" w:type="dxa"/>
        <w:tblLayout w:type="fixed"/>
        <w:tblLook w:val="0000"/>
      </w:tblPr>
      <w:tblGrid>
        <w:gridCol w:w="630"/>
        <w:gridCol w:w="1829"/>
        <w:gridCol w:w="1375"/>
        <w:gridCol w:w="1782"/>
        <w:gridCol w:w="1791"/>
        <w:gridCol w:w="1829"/>
        <w:tblGridChange w:id="0">
          <w:tblGrid>
            <w:gridCol w:w="630"/>
            <w:gridCol w:w="1829"/>
            <w:gridCol w:w="1375"/>
            <w:gridCol w:w="1782"/>
            <w:gridCol w:w="1791"/>
            <w:gridCol w:w="1829"/>
          </w:tblGrid>
        </w:tblGridChange>
      </w:tblGrid>
      <w:tr>
        <w:trPr>
          <w:trHeight w:val="300" w:hRule="atLeast"/>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i w:val="1"/>
                <w:sz w:val="22"/>
                <w:szCs w:val="22"/>
                <w:vertAlign w:val="baseline"/>
                <w:rtl w:val="0"/>
              </w:rPr>
              <w:t xml:space="preserve">Año</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contextualSpacing w:val="0"/>
              <w:jc w:val="center"/>
            </w:pPr>
            <w:r w:rsidDel="00000000" w:rsidR="00000000" w:rsidRPr="00000000">
              <w:rPr>
                <w:rFonts w:ascii="Arial" w:cs="Arial" w:eastAsia="Arial" w:hAnsi="Arial"/>
                <w:b w:val="1"/>
                <w:i w:val="1"/>
                <w:sz w:val="22"/>
                <w:szCs w:val="22"/>
                <w:vertAlign w:val="baseline"/>
                <w:rtl w:val="0"/>
              </w:rPr>
              <w:t xml:space="preserve">Monto de Transferencia</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contextualSpacing w:val="0"/>
              <w:jc w:val="center"/>
            </w:pPr>
            <w:r w:rsidDel="00000000" w:rsidR="00000000" w:rsidRPr="00000000">
              <w:rPr>
                <w:rFonts w:ascii="Arial" w:cs="Arial" w:eastAsia="Arial" w:hAnsi="Arial"/>
                <w:b w:val="1"/>
                <w:i w:val="1"/>
                <w:sz w:val="22"/>
                <w:szCs w:val="22"/>
                <w:vertAlign w:val="baseline"/>
                <w:rtl w:val="0"/>
              </w:rPr>
              <w:t xml:space="preserve">% de crecimiento </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i w:val="1"/>
                <w:sz w:val="22"/>
                <w:szCs w:val="22"/>
                <w:vertAlign w:val="baseline"/>
                <w:rtl w:val="0"/>
              </w:rPr>
              <w:t xml:space="preserve">FSDE</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contextualSpacing w:val="0"/>
              <w:jc w:val="center"/>
            </w:pPr>
            <w:r w:rsidDel="00000000" w:rsidR="00000000" w:rsidRPr="00000000">
              <w:rPr>
                <w:rFonts w:ascii="Arial" w:cs="Arial" w:eastAsia="Arial" w:hAnsi="Arial"/>
                <w:b w:val="1"/>
                <w:i w:val="1"/>
                <w:sz w:val="22"/>
                <w:szCs w:val="22"/>
                <w:vertAlign w:val="baseline"/>
                <w:rtl w:val="0"/>
              </w:rPr>
              <w:t xml:space="preserve">Total Presupuesto FEITEC</w:t>
            </w:r>
            <w:r w:rsidDel="00000000" w:rsidR="00000000" w:rsidRPr="00000000">
              <w:rPr>
                <w:rtl w:val="0"/>
              </w:rPr>
            </w:r>
          </w:p>
        </w:tc>
      </w:tr>
      <w:tr>
        <w:trPr>
          <w:trHeight w:val="900"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i w:val="1"/>
                <w:sz w:val="22"/>
                <w:szCs w:val="22"/>
                <w:vertAlign w:val="baseline"/>
                <w:rtl w:val="0"/>
              </w:rPr>
              <w:t xml:space="preserve">FESTEC</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ffffff"/>
          </w:tcPr>
          <w:p w:rsidR="00000000" w:rsidDel="00000000" w:rsidP="00000000" w:rsidRDefault="00000000" w:rsidRPr="00000000">
            <w:pPr>
              <w:contextualSpacing w:val="0"/>
              <w:jc w:val="center"/>
            </w:pPr>
            <w:r w:rsidDel="00000000" w:rsidR="00000000" w:rsidRPr="00000000">
              <w:rPr>
                <w:rFonts w:ascii="Arial" w:cs="Arial" w:eastAsia="Arial" w:hAnsi="Arial"/>
                <w:b w:val="1"/>
                <w:i w:val="1"/>
                <w:sz w:val="22"/>
                <w:szCs w:val="22"/>
                <w:vertAlign w:val="baseline"/>
                <w:rtl w:val="0"/>
              </w:rPr>
              <w:t xml:space="preserve">Viajes Representación Estudiantil</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contextualSpacing w:val="0"/>
              <w:jc w:val="right"/>
            </w:pP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2015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i w:val="1"/>
                <w:sz w:val="22"/>
                <w:szCs w:val="22"/>
                <w:vertAlign w:val="baseline"/>
                <w:rtl w:val="0"/>
              </w:rPr>
              <w:t xml:space="preserve">₡24.830.700,00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i w:val="1"/>
                <w:sz w:val="22"/>
                <w:szCs w:val="22"/>
                <w:vertAlign w:val="baseline"/>
                <w:rtl w:val="0"/>
              </w:rPr>
              <w:t xml:space="preserve">₡24.830.700,00</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ffffff"/>
          </w:tcPr>
          <w:p w:rsidR="00000000" w:rsidDel="00000000" w:rsidP="00000000" w:rsidRDefault="00000000" w:rsidRPr="00000000">
            <w:pPr>
              <w:contextualSpacing w:val="0"/>
              <w:jc w:val="right"/>
            </w:pPr>
            <w:r w:rsidDel="00000000" w:rsidR="00000000" w:rsidRPr="00000000">
              <w:rPr>
                <w:rFonts w:ascii="Arial" w:cs="Arial" w:eastAsia="Arial" w:hAnsi="Arial"/>
                <w:i w:val="1"/>
                <w:sz w:val="22"/>
                <w:szCs w:val="22"/>
                <w:vertAlign w:val="baseline"/>
                <w:rtl w:val="0"/>
              </w:rPr>
              <w:t xml:space="preserve">₡7.000.000,00</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i w:val="1"/>
                <w:sz w:val="22"/>
                <w:szCs w:val="22"/>
                <w:vertAlign w:val="baseline"/>
                <w:rtl w:val="0"/>
              </w:rPr>
              <w:t xml:space="preserve">₡56.661.400,00</w:t>
            </w: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2016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i w:val="1"/>
                <w:sz w:val="22"/>
                <w:szCs w:val="22"/>
                <w:vertAlign w:val="baseline"/>
                <w:rtl w:val="0"/>
              </w:rPr>
              <w:t xml:space="preserve">₡60.000.000,00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141,64%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i w:val="1"/>
                <w:sz w:val="22"/>
                <w:szCs w:val="22"/>
                <w:vertAlign w:val="baseline"/>
                <w:rtl w:val="0"/>
              </w:rPr>
              <w:t xml:space="preserve">₡26.250.000,00</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ffffff"/>
          </w:tcPr>
          <w:p w:rsidR="00000000" w:rsidDel="00000000" w:rsidP="00000000" w:rsidRDefault="00000000" w:rsidRPr="00000000">
            <w:pPr>
              <w:contextualSpacing w:val="0"/>
              <w:jc w:val="right"/>
            </w:pPr>
            <w:r w:rsidDel="00000000" w:rsidR="00000000" w:rsidRPr="00000000">
              <w:rPr>
                <w:rFonts w:ascii="Arial" w:cs="Arial" w:eastAsia="Arial" w:hAnsi="Arial"/>
                <w:i w:val="1"/>
                <w:sz w:val="22"/>
                <w:szCs w:val="22"/>
                <w:vertAlign w:val="baseline"/>
                <w:rtl w:val="0"/>
              </w:rPr>
              <w:t xml:space="preserve">₡2.500.000,00</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i w:val="1"/>
                <w:sz w:val="22"/>
                <w:szCs w:val="22"/>
                <w:vertAlign w:val="baseline"/>
                <w:rtl w:val="0"/>
              </w:rPr>
              <w:t xml:space="preserve">₡88.750.000,00</w:t>
            </w: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2017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i w:val="1"/>
                <w:sz w:val="22"/>
                <w:szCs w:val="22"/>
                <w:vertAlign w:val="baseline"/>
                <w:rtl w:val="0"/>
              </w:rPr>
              <w:t xml:space="preserve">₡80.000.000,00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33,33%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i w:val="1"/>
                <w:sz w:val="22"/>
                <w:szCs w:val="22"/>
                <w:vertAlign w:val="baseline"/>
                <w:rtl w:val="0"/>
              </w:rPr>
              <w:t xml:space="preserve">₡27.562.500,00</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contextualSpacing w:val="0"/>
              <w:jc w:val="right"/>
            </w:pPr>
            <w:r w:rsidDel="00000000" w:rsidR="00000000" w:rsidRPr="00000000">
              <w:rPr>
                <w:rFonts w:ascii="Arial" w:cs="Arial" w:eastAsia="Arial" w:hAnsi="Arial"/>
                <w:i w:val="1"/>
                <w:sz w:val="22"/>
                <w:szCs w:val="22"/>
                <w:vertAlign w:val="baseline"/>
                <w:rtl w:val="0"/>
              </w:rPr>
              <w:t xml:space="preserve">₡2.625.000,00</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i w:val="1"/>
                <w:sz w:val="22"/>
                <w:szCs w:val="22"/>
                <w:vertAlign w:val="baseline"/>
                <w:rtl w:val="0"/>
              </w:rPr>
              <w:t xml:space="preserve">₡110.187.500,00</w:t>
            </w: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2018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i w:val="1"/>
                <w:sz w:val="22"/>
                <w:szCs w:val="22"/>
                <w:vertAlign w:val="baseline"/>
                <w:rtl w:val="0"/>
              </w:rPr>
              <w:t xml:space="preserve">₡100.000.000,00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25,00%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i w:val="1"/>
                <w:sz w:val="22"/>
                <w:szCs w:val="22"/>
                <w:vertAlign w:val="baseline"/>
                <w:rtl w:val="0"/>
              </w:rPr>
              <w:t xml:space="preserve">₡28.940.625,00</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ffffff"/>
          </w:tcPr>
          <w:p w:rsidR="00000000" w:rsidDel="00000000" w:rsidP="00000000" w:rsidRDefault="00000000" w:rsidRPr="00000000">
            <w:pPr>
              <w:contextualSpacing w:val="0"/>
              <w:jc w:val="right"/>
            </w:pPr>
            <w:r w:rsidDel="00000000" w:rsidR="00000000" w:rsidRPr="00000000">
              <w:rPr>
                <w:rFonts w:ascii="Arial" w:cs="Arial" w:eastAsia="Arial" w:hAnsi="Arial"/>
                <w:i w:val="1"/>
                <w:sz w:val="22"/>
                <w:szCs w:val="22"/>
                <w:vertAlign w:val="baseline"/>
                <w:rtl w:val="0"/>
              </w:rPr>
              <w:t xml:space="preserve">₡2.756.250,00</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i w:val="1"/>
                <w:sz w:val="22"/>
                <w:szCs w:val="22"/>
                <w:vertAlign w:val="baseline"/>
                <w:rtl w:val="0"/>
              </w:rPr>
              <w:t xml:space="preserve">₡131.696.875,00</w:t>
            </w:r>
            <w:r w:rsidDel="00000000" w:rsidR="00000000" w:rsidRPr="00000000">
              <w:rPr>
                <w:rtl w:val="0"/>
              </w:rPr>
            </w:r>
          </w:p>
        </w:tc>
      </w:tr>
    </w:tbl>
    <w:p w:rsidR="00000000" w:rsidDel="00000000" w:rsidP="00000000" w:rsidRDefault="00000000" w:rsidRPr="00000000">
      <w:pPr>
        <w:spacing w:line="360" w:lineRule="auto"/>
        <w:ind w:left="360" w:right="-93" w:firstLine="0"/>
        <w:contextualSpacing w:val="0"/>
        <w:jc w:val="both"/>
      </w:pPr>
      <w:r w:rsidDel="00000000" w:rsidR="00000000" w:rsidRPr="00000000">
        <w:rPr>
          <w:rtl w:val="0"/>
        </w:rPr>
      </w:r>
    </w:p>
    <w:p w:rsidR="00000000" w:rsidDel="00000000" w:rsidP="00000000" w:rsidRDefault="00000000" w:rsidRPr="00000000">
      <w:pPr>
        <w:numPr>
          <w:ilvl w:val="0"/>
          <w:numId w:val="5"/>
        </w:numPr>
        <w:tabs>
          <w:tab w:val="left" w:pos="284"/>
        </w:tabs>
        <w:spacing w:after="0" w:before="0" w:line="259" w:lineRule="auto"/>
        <w:ind w:left="720" w:hanging="360"/>
        <w:contextualSpacing w:val="1"/>
        <w:jc w:val="both"/>
        <w:rPr>
          <w:rFonts w:ascii="Arial" w:cs="Arial" w:eastAsia="Arial" w:hAnsi="Arial"/>
          <w:b w:val="0"/>
          <w:i w:val="0"/>
          <w:sz w:val="24"/>
          <w:szCs w:val="24"/>
        </w:rPr>
      </w:pPr>
      <w:r w:rsidDel="00000000" w:rsidR="00000000" w:rsidRPr="00000000">
        <w:rPr>
          <w:rFonts w:ascii="Arial" w:cs="Arial" w:eastAsia="Arial" w:hAnsi="Arial"/>
          <w:b w:val="0"/>
          <w:i w:val="1"/>
          <w:sz w:val="24"/>
          <w:szCs w:val="24"/>
          <w:vertAlign w:val="baseline"/>
          <w:rtl w:val="0"/>
        </w:rPr>
        <w:t xml:space="preserve">Que los montos anteriores para la asignación de presupuesto para la FEITEC  2016-2018 se respaldan en las siguientes premisas:</w:t>
      </w:r>
      <w:r w:rsidDel="00000000" w:rsidR="00000000" w:rsidRPr="00000000">
        <w:rPr>
          <w:rtl w:val="0"/>
        </w:rPr>
      </w:r>
    </w:p>
    <w:p w:rsidR="00000000" w:rsidDel="00000000" w:rsidP="00000000" w:rsidRDefault="00000000" w:rsidRPr="00000000">
      <w:pPr>
        <w:spacing w:after="0" w:before="0" w:line="360" w:lineRule="auto"/>
        <w:ind w:left="1080" w:right="-93" w:firstLine="0"/>
        <w:contextualSpacing w:val="0"/>
        <w:jc w:val="both"/>
      </w:pPr>
      <w:r w:rsidDel="00000000" w:rsidR="00000000" w:rsidRPr="00000000">
        <w:rPr>
          <w:rtl w:val="0"/>
        </w:rPr>
      </w:r>
    </w:p>
    <w:p w:rsidR="00000000" w:rsidDel="00000000" w:rsidP="00000000" w:rsidRDefault="00000000" w:rsidRPr="00000000">
      <w:pPr>
        <w:numPr>
          <w:ilvl w:val="0"/>
          <w:numId w:val="1"/>
        </w:numPr>
        <w:tabs>
          <w:tab w:val="left" w:pos="284"/>
        </w:tabs>
        <w:spacing w:after="0" w:before="0" w:line="259" w:lineRule="auto"/>
        <w:ind w:left="720" w:hanging="360"/>
        <w:contextualSpacing w:val="1"/>
        <w:jc w:val="both"/>
        <w:rPr>
          <w:i w:val="0"/>
          <w:sz w:val="24"/>
          <w:szCs w:val="24"/>
        </w:rPr>
      </w:pPr>
      <w:r w:rsidDel="00000000" w:rsidR="00000000" w:rsidRPr="00000000">
        <w:rPr>
          <w:rFonts w:ascii="Arial" w:cs="Arial" w:eastAsia="Arial" w:hAnsi="Arial"/>
          <w:b w:val="0"/>
          <w:i w:val="1"/>
          <w:sz w:val="24"/>
          <w:szCs w:val="24"/>
          <w:vertAlign w:val="baseline"/>
          <w:rtl w:val="0"/>
        </w:rPr>
        <w:t xml:space="preserve">El presupuesto se asignará de manera paulatina hasta alcanzar para el año 2018 el monto de 100 millones de colones vía transferencia a la FEITEC.</w:t>
      </w:r>
      <w:r w:rsidDel="00000000" w:rsidR="00000000" w:rsidRPr="00000000">
        <w:rPr>
          <w:rtl w:val="0"/>
        </w:rPr>
      </w:r>
    </w:p>
    <w:p w:rsidR="00000000" w:rsidDel="00000000" w:rsidP="00000000" w:rsidRDefault="00000000" w:rsidRPr="00000000">
      <w:pPr>
        <w:tabs>
          <w:tab w:val="left" w:pos="284"/>
        </w:tabs>
        <w:spacing w:after="0" w:before="0" w:line="259" w:lineRule="auto"/>
        <w:ind w:left="720" w:firstLine="0"/>
        <w:contextualSpacing w:val="0"/>
        <w:jc w:val="both"/>
      </w:pPr>
      <w:r w:rsidDel="00000000" w:rsidR="00000000" w:rsidRPr="00000000">
        <w:rPr>
          <w:rtl w:val="0"/>
        </w:rPr>
      </w:r>
    </w:p>
    <w:p w:rsidR="00000000" w:rsidDel="00000000" w:rsidP="00000000" w:rsidRDefault="00000000" w:rsidRPr="00000000">
      <w:pPr>
        <w:numPr>
          <w:ilvl w:val="0"/>
          <w:numId w:val="1"/>
        </w:numPr>
        <w:tabs>
          <w:tab w:val="left" w:pos="284"/>
        </w:tabs>
        <w:spacing w:after="0" w:before="0" w:line="259" w:lineRule="auto"/>
        <w:ind w:left="720" w:hanging="360"/>
        <w:contextualSpacing w:val="1"/>
        <w:jc w:val="both"/>
        <w:rPr>
          <w:i w:val="0"/>
          <w:sz w:val="24"/>
          <w:szCs w:val="24"/>
        </w:rPr>
      </w:pPr>
      <w:r w:rsidDel="00000000" w:rsidR="00000000" w:rsidRPr="00000000">
        <w:rPr>
          <w:rFonts w:ascii="Arial" w:cs="Arial" w:eastAsia="Arial" w:hAnsi="Arial"/>
          <w:b w:val="0"/>
          <w:i w:val="1"/>
          <w:sz w:val="24"/>
          <w:szCs w:val="24"/>
          <w:vertAlign w:val="baseline"/>
          <w:rtl w:val="0"/>
        </w:rPr>
        <w:t xml:space="preserve">Se ha considerado para esta asignación presupuestaria, el “Acuerdo entre los candidatos a Rector del ITCR 2011-2015 y las Asociaciones de Estudiantes en conjunto con el Consejo Ejecutivo Electo ( 2011-2012) de la Federación de Estudiantes del ITCR ” y las posibilidades presupuestarias del ITCR.</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1"/>
        </w:numPr>
        <w:tabs>
          <w:tab w:val="left" w:pos="284"/>
        </w:tabs>
        <w:spacing w:after="0" w:before="0" w:line="259" w:lineRule="auto"/>
        <w:ind w:left="720" w:hanging="360"/>
        <w:contextualSpacing w:val="1"/>
        <w:jc w:val="both"/>
        <w:rPr>
          <w:i w:val="0"/>
          <w:sz w:val="24"/>
          <w:szCs w:val="24"/>
        </w:rPr>
      </w:pPr>
      <w:r w:rsidDel="00000000" w:rsidR="00000000" w:rsidRPr="00000000">
        <w:rPr>
          <w:rFonts w:ascii="Arial" w:cs="Arial" w:eastAsia="Arial" w:hAnsi="Arial"/>
          <w:b w:val="0"/>
          <w:i w:val="1"/>
          <w:sz w:val="24"/>
          <w:szCs w:val="24"/>
          <w:vertAlign w:val="baseline"/>
          <w:rtl w:val="0"/>
        </w:rPr>
        <w:t xml:space="preserve">A partir del año 2019, el porcentaje de crecimiento del presupuesto será el mismo porcentaje que el declarado por el Banco Central de Costa Rica como índice inflacionario del país, en todos los rubros asignados a la FEITEC. </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1"/>
        </w:numPr>
        <w:tabs>
          <w:tab w:val="left" w:pos="284"/>
        </w:tabs>
        <w:spacing w:after="0" w:before="0" w:line="259" w:lineRule="auto"/>
        <w:ind w:left="720" w:hanging="360"/>
        <w:contextualSpacing w:val="1"/>
        <w:jc w:val="both"/>
        <w:rPr>
          <w:i w:val="0"/>
          <w:sz w:val="24"/>
          <w:szCs w:val="24"/>
        </w:rPr>
      </w:pPr>
      <w:r w:rsidDel="00000000" w:rsidR="00000000" w:rsidRPr="00000000">
        <w:rPr>
          <w:rFonts w:ascii="Arial" w:cs="Arial" w:eastAsia="Arial" w:hAnsi="Arial"/>
          <w:b w:val="0"/>
          <w:i w:val="1"/>
          <w:sz w:val="24"/>
          <w:szCs w:val="24"/>
          <w:vertAlign w:val="baseline"/>
          <w:rtl w:val="0"/>
        </w:rPr>
        <w:t xml:space="preserve">La Vicerrectoría de Vida Estudiantil y Servicios Académicos, continuará otorgando el presupuesto destinado para el desarrollo del FESTEC y lo correspondiente para la atención de gastos de viaje Representación Estudiantil Oficial. </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1"/>
        </w:numPr>
        <w:tabs>
          <w:tab w:val="left" w:pos="284"/>
        </w:tabs>
        <w:spacing w:after="0" w:before="0" w:line="259" w:lineRule="auto"/>
        <w:ind w:left="720" w:hanging="360"/>
        <w:contextualSpacing w:val="1"/>
        <w:jc w:val="both"/>
        <w:rPr>
          <w:i w:val="0"/>
          <w:sz w:val="24"/>
          <w:szCs w:val="24"/>
        </w:rPr>
      </w:pPr>
      <w:r w:rsidDel="00000000" w:rsidR="00000000" w:rsidRPr="00000000">
        <w:rPr>
          <w:rFonts w:ascii="Arial" w:cs="Arial" w:eastAsia="Arial" w:hAnsi="Arial"/>
          <w:b w:val="0"/>
          <w:i w:val="1"/>
          <w:sz w:val="24"/>
          <w:szCs w:val="24"/>
          <w:vertAlign w:val="baseline"/>
          <w:rtl w:val="0"/>
        </w:rPr>
        <w:t xml:space="preserve">Solicitar a la FEITEC que implemente mecanismos de control presupuestarios aptos para un adecuado uso de los recursos asignados, así como el establecimiento del sistema contable que permita la elaboración de los estados financieros oportunamente.’’</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426" w:hanging="426"/>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FEITEC en diversas reuniones del Consejo de Presidentes, Sesión 04 periodo 15-16, Consejo Ejecutivo, Asociaciones Estudiantiles de Carrera y en reuniones particulares con estudiantes, ha determinado que es necesario un aumento de presupuesto y que este deberá ser gradual en el tiempo, teniendo una base de 70 millones de colones que representan el 0.15% del FEES Institucional para 2016.</w:t>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426" w:hanging="426"/>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Es voluntad del Consejo Institucional y de  la Institución mantener el compromiso y el apoyo financiero para el desarrollo de los planes, programas y proyectos de la FEITEC y sus Asociaciones.</w:t>
      </w:r>
    </w:p>
    <w:p w:rsidR="00000000" w:rsidDel="00000000" w:rsidP="00000000" w:rsidRDefault="00000000" w:rsidRPr="00000000">
      <w:pPr>
        <w:spacing w:after="0" w:lineRule="auto"/>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tabs>
          <w:tab w:val="left" w:pos="426"/>
        </w:tabs>
        <w:spacing w:before="0" w:lineRule="auto"/>
        <w:ind w:left="426" w:firstLine="0"/>
        <w:contextualSpacing w:val="0"/>
        <w:jc w:val="both"/>
      </w:pPr>
      <w:r w:rsidDel="00000000" w:rsidR="00000000" w:rsidRPr="00000000">
        <w:rPr>
          <w:rtl w:val="0"/>
        </w:rPr>
      </w:r>
    </w:p>
    <w:p w:rsidR="00000000" w:rsidDel="00000000" w:rsidP="00000000" w:rsidRDefault="00000000" w:rsidRPr="00000000">
      <w:pPr>
        <w:numPr>
          <w:ilvl w:val="0"/>
          <w:numId w:val="4"/>
        </w:numPr>
        <w:spacing w:after="0" w:before="0" w:line="240" w:lineRule="auto"/>
        <w:ind w:left="378"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Aumentar el presupuesto asignado a la Federación de Estudiantes del Tecnológico iniciando con un monto de 0.15% sobre el FEES institucional para el año 2016, manteniendo los aportes de festivales y representación estudiantil oficial para viajes al exterior en el FSDE, según solicitud de la FEITEC, en los siguientes términos:</w:t>
      </w:r>
    </w:p>
    <w:p w:rsidR="00000000" w:rsidDel="00000000" w:rsidP="00000000" w:rsidRDefault="00000000" w:rsidRPr="00000000">
      <w:pPr>
        <w:spacing w:after="0" w:before="0" w:line="240" w:lineRule="auto"/>
        <w:ind w:left="-66" w:firstLine="0"/>
        <w:contextualSpacing w:val="0"/>
        <w:jc w:val="both"/>
      </w:pPr>
      <w:r w:rsidDel="00000000" w:rsidR="00000000" w:rsidRPr="00000000">
        <w:rPr>
          <w:rtl w:val="0"/>
        </w:rPr>
      </w:r>
    </w:p>
    <w:p w:rsidR="00000000" w:rsidDel="00000000" w:rsidP="00000000" w:rsidRDefault="00000000" w:rsidRPr="00000000">
      <w:pPr>
        <w:ind w:left="1036" w:hanging="567"/>
        <w:contextualSpacing w:val="0"/>
        <w:jc w:val="both"/>
      </w:pPr>
      <w:r w:rsidDel="00000000" w:rsidR="00000000" w:rsidRPr="00000000">
        <w:rPr>
          <w:rFonts w:ascii="Arial" w:cs="Arial" w:eastAsia="Arial" w:hAnsi="Arial"/>
          <w:vertAlign w:val="baseline"/>
          <w:rtl w:val="0"/>
        </w:rPr>
        <w:t xml:space="preserve">a.1. Para el año 2016 este presupuesto estará constituido por los recursos provenientes de las cuotas correspondientes a los derechos de matrículas, las cuales se incrementarán de manera ordinaria y los aportes adicionales de la institución según lo establecido en artículo 109 del estatuto Orgánico.</w:t>
      </w:r>
      <w:r w:rsidDel="00000000" w:rsidR="00000000" w:rsidRPr="00000000">
        <w:rPr>
          <w:rtl w:val="0"/>
        </w:rPr>
      </w:r>
    </w:p>
    <w:p w:rsidR="00000000" w:rsidDel="00000000" w:rsidP="00000000" w:rsidRDefault="00000000" w:rsidRPr="00000000">
      <w:pPr>
        <w:ind w:left="1036" w:firstLine="0"/>
        <w:contextualSpacing w:val="0"/>
        <w:jc w:val="both"/>
      </w:pPr>
      <w:r w:rsidDel="00000000" w:rsidR="00000000" w:rsidRPr="00000000">
        <w:rPr>
          <w:rtl w:val="0"/>
        </w:rPr>
      </w:r>
    </w:p>
    <w:p w:rsidR="00000000" w:rsidDel="00000000" w:rsidP="00000000" w:rsidRDefault="00000000" w:rsidRPr="00000000">
      <w:pPr>
        <w:ind w:left="1036" w:hanging="567"/>
        <w:contextualSpacing w:val="0"/>
        <w:jc w:val="both"/>
      </w:pPr>
      <w:r w:rsidDel="00000000" w:rsidR="00000000" w:rsidRPr="00000000">
        <w:rPr>
          <w:rFonts w:ascii="Arial" w:cs="Arial" w:eastAsia="Arial" w:hAnsi="Arial"/>
          <w:vertAlign w:val="baseline"/>
          <w:rtl w:val="0"/>
        </w:rPr>
        <w:t xml:space="preserve">a.2.</w:t>
        <w:tab/>
        <w:t xml:space="preserve">Los aumentos sobre la base anterior deberán ser definidos por el Consejo Institucional según propuesta consensuada entre la FEITEC y la Administración.</w:t>
      </w:r>
      <w:r w:rsidDel="00000000" w:rsidR="00000000" w:rsidRPr="00000000">
        <w:rPr>
          <w:rtl w:val="0"/>
        </w:rPr>
      </w:r>
    </w:p>
    <w:p w:rsidR="00000000" w:rsidDel="00000000" w:rsidP="00000000" w:rsidRDefault="00000000" w:rsidRPr="00000000">
      <w:pPr>
        <w:ind w:left="1036" w:firstLine="0"/>
        <w:contextualSpacing w:val="0"/>
        <w:jc w:val="both"/>
      </w:pPr>
      <w:r w:rsidDel="00000000" w:rsidR="00000000" w:rsidRPr="00000000">
        <w:rPr>
          <w:rtl w:val="0"/>
        </w:rPr>
      </w:r>
    </w:p>
    <w:p w:rsidR="00000000" w:rsidDel="00000000" w:rsidP="00000000" w:rsidRDefault="00000000" w:rsidRPr="00000000">
      <w:pPr>
        <w:ind w:left="1036" w:hanging="567"/>
        <w:contextualSpacing w:val="0"/>
        <w:jc w:val="both"/>
      </w:pPr>
      <w:r w:rsidDel="00000000" w:rsidR="00000000" w:rsidRPr="00000000">
        <w:rPr>
          <w:rFonts w:ascii="Arial" w:cs="Arial" w:eastAsia="Arial" w:hAnsi="Arial"/>
          <w:vertAlign w:val="baseline"/>
          <w:rtl w:val="0"/>
        </w:rPr>
        <w:t xml:space="preserve">a.3. Para futuros aumentos de presupuesto se solicitará a la Administración el acompañamiento técnico a la FEITEC para la formulación y ejecución idónea del mismo.</w:t>
      </w:r>
      <w:r w:rsidDel="00000000" w:rsidR="00000000" w:rsidRPr="00000000">
        <w:rPr>
          <w:rtl w:val="0"/>
        </w:rPr>
      </w:r>
    </w:p>
    <w:p w:rsidR="00000000" w:rsidDel="00000000" w:rsidP="00000000" w:rsidRDefault="00000000" w:rsidRPr="00000000">
      <w:pPr>
        <w:spacing w:after="0" w:before="0" w:line="240" w:lineRule="auto"/>
        <w:ind w:left="1036" w:firstLine="0"/>
        <w:contextualSpacing w:val="0"/>
        <w:jc w:val="both"/>
      </w:pPr>
      <w:r w:rsidDel="00000000" w:rsidR="00000000" w:rsidRPr="00000000">
        <w:rPr>
          <w:rtl w:val="0"/>
        </w:rPr>
      </w:r>
    </w:p>
    <w:p w:rsidR="00000000" w:rsidDel="00000000" w:rsidP="00000000" w:rsidRDefault="00000000" w:rsidRPr="00000000">
      <w:pPr>
        <w:numPr>
          <w:ilvl w:val="0"/>
          <w:numId w:val="4"/>
        </w:numPr>
        <w:spacing w:after="0" w:before="0" w:line="240" w:lineRule="auto"/>
        <w:ind w:left="378"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Solicitar a la Auditoría Interna genere una asesoría, sobre los procedimientos y controles financieros actuales de la FEITEC, para  mejorar la gestión financiera del nuevo presupuesto.</w:t>
      </w:r>
    </w:p>
    <w:p w:rsidR="00000000" w:rsidDel="00000000" w:rsidP="00000000" w:rsidRDefault="00000000" w:rsidRPr="00000000">
      <w:pPr>
        <w:spacing w:after="0" w:before="0" w:line="240" w:lineRule="auto"/>
        <w:ind w:left="102" w:firstLine="0"/>
        <w:contextualSpacing w:val="0"/>
        <w:jc w:val="both"/>
      </w:pPr>
      <w:r w:rsidDel="00000000" w:rsidR="00000000" w:rsidRPr="00000000">
        <w:rPr>
          <w:rtl w:val="0"/>
        </w:rPr>
      </w:r>
    </w:p>
    <w:p w:rsidR="00000000" w:rsidDel="00000000" w:rsidP="00000000" w:rsidRDefault="00000000" w:rsidRPr="00000000">
      <w:pPr>
        <w:numPr>
          <w:ilvl w:val="0"/>
          <w:numId w:val="4"/>
        </w:numPr>
        <w:spacing w:after="0" w:before="0" w:line="240" w:lineRule="auto"/>
        <w:ind w:left="378"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Comunicar.  </w:t>
      </w:r>
      <w:r w:rsidDel="00000000" w:rsidR="00000000" w:rsidRPr="00000000">
        <w:rPr>
          <w:rFonts w:ascii="Arial" w:cs="Arial" w:eastAsia="Arial" w:hAnsi="Arial"/>
          <w:b w:val="1"/>
          <w:sz w:val="24"/>
          <w:szCs w:val="24"/>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PALABRAS CLAVE:      formulación – presupuestaria - FEITEC – 2016 - FEES    </w:t>
      </w:r>
      <w:r w:rsidDel="00000000" w:rsidR="00000000" w:rsidRPr="00000000">
        <w:rPr>
          <w:rtl w:val="0"/>
        </w:rPr>
      </w:r>
    </w:p>
    <w:p w:rsidR="00000000" w:rsidDel="00000000" w:rsidP="00000000" w:rsidRDefault="00000000" w:rsidRPr="00000000">
      <w:pPr>
        <w:ind w:left="360" w:right="-91" w:firstLine="0"/>
        <w:contextualSpacing w:val="0"/>
        <w:jc w:val="both"/>
      </w:pPr>
      <w:r w:rsidDel="00000000" w:rsidR="00000000" w:rsidRPr="00000000">
        <w:rPr>
          <w:rtl w:val="0"/>
        </w:rPr>
      </w:r>
    </w:p>
    <w:p w:rsidR="00000000" w:rsidDel="00000000" w:rsidP="00000000" w:rsidRDefault="00000000" w:rsidRPr="00000000">
      <w:pPr>
        <w:ind w:left="360" w:right="-91" w:firstLine="0"/>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Arial" w:cs="Arial" w:eastAsia="Arial" w:hAnsi="Arial"/>
          <w:sz w:val="18"/>
          <w:szCs w:val="18"/>
          <w:vertAlign w:val="baseline"/>
          <w:rtl w:val="0"/>
        </w:rPr>
        <w:t xml:space="preserve">BSS/vvl</w:t>
      </w:r>
      <w:r w:rsidDel="00000000" w:rsidR="00000000" w:rsidRPr="00000000">
        <w:rPr>
          <w:rtl w:val="0"/>
        </w:rPr>
      </w:r>
    </w:p>
    <w:tbl>
      <w:tblPr>
        <w:tblStyle w:val="Table5"/>
        <w:bidi w:val="0"/>
        <w:tblW w:w="9464.0" w:type="dxa"/>
        <w:jc w:val="left"/>
        <w:tblInd w:w="-108.0" w:type="dxa"/>
        <w:tblLayout w:type="fixed"/>
        <w:tblLook w:val="0000"/>
      </w:tblPr>
      <w:tblGrid>
        <w:gridCol w:w="4361"/>
        <w:gridCol w:w="5103"/>
        <w:tblGridChange w:id="0">
          <w:tblGrid>
            <w:gridCol w:w="4361"/>
            <w:gridCol w:w="5103"/>
          </w:tblGrid>
        </w:tblGridChange>
      </w:tblGrid>
      <w:tr>
        <w:trPr>
          <w:trHeight w:val="180" w:hRule="atLeast"/>
        </w:trPr>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Vicerrectoría de Docencia</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VIE</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Centro Académico de Limón</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Sede Regional San Carlos</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Centro Académico San José</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Centro Académico de Alajuela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OPI</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Asesoría Legal</w:t>
            </w:r>
            <w:r w:rsidDel="00000000" w:rsidR="00000000" w:rsidRPr="00000000">
              <w:rPr>
                <w:rtl w:val="0"/>
              </w:rPr>
            </w:r>
          </w:p>
          <w:p w:rsidR="00000000" w:rsidDel="00000000" w:rsidP="00000000" w:rsidRDefault="00000000" w:rsidRPr="00000000">
            <w:pPr>
              <w:ind w:firstLine="34"/>
              <w:contextualSpacing w:val="0"/>
              <w:jc w:val="both"/>
            </w:pPr>
            <w:r w:rsidDel="00000000" w:rsidR="00000000" w:rsidRPr="00000000">
              <w:rPr>
                <w:rFonts w:ascii="Arial" w:cs="Arial" w:eastAsia="Arial" w:hAnsi="Arial"/>
                <w:b w:val="1"/>
                <w:sz w:val="16"/>
                <w:szCs w:val="16"/>
                <w:vertAlign w:val="baseline"/>
                <w:rtl w:val="0"/>
              </w:rPr>
              <w:t xml:space="preserve">Auditoría Interna (Notificado a la Secretaria vía correo electrónico)</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Comunicación y Mercadeo </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FEITEC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pgSz w:h="15840" w:w="12240"/>
      <w:pgMar w:bottom="993" w:top="1985"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245110</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2943, Artículo 10, del 21 de octubre de 2015</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565150</wp:posOffset>
          </wp:positionV>
          <wp:extent cx="1574800" cy="584200"/>
          <wp:effectExtent b="0" l="0" r="0" t="0"/>
          <wp:wrapNone/>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decimal"/>
      <w:lvlText w:val="%1."/>
      <w:lvlJc w:val="left"/>
      <w:pPr>
        <w:ind w:left="720" w:firstLine="36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decimal"/>
      <w:lvlText w:val="%1."/>
      <w:lvlJc w:val="left"/>
      <w:pPr>
        <w:ind w:left="720" w:firstLine="360"/>
      </w:pPr>
      <w:rPr>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lvl w:ilvl="0">
      <w:start w:val="1"/>
      <w:numFmt w:val="lowerLetter"/>
      <w:lvlText w:val="%1."/>
      <w:lvlJc w:val="left"/>
      <w:pPr>
        <w:ind w:left="-66" w:hanging="426"/>
      </w:pPr>
      <w:rPr>
        <w:b w:val="1"/>
        <w:strike w:val="0"/>
        <w:vertAlign w:val="baseline"/>
      </w:rPr>
    </w:lvl>
    <w:lvl w:ilvl="1">
      <w:start w:val="1"/>
      <w:numFmt w:val="lowerRoman"/>
      <w:lvlText w:val="%2."/>
      <w:lvlJc w:val="right"/>
      <w:pPr>
        <w:ind w:left="654" w:firstLine="294.00000000000006"/>
      </w:pPr>
      <w:rPr>
        <w:vertAlign w:val="baseline"/>
      </w:rPr>
    </w:lvl>
    <w:lvl w:ilvl="2">
      <w:start w:val="1"/>
      <w:numFmt w:val="lowerRoman"/>
      <w:lvlText w:val="%3."/>
      <w:lvlJc w:val="right"/>
      <w:pPr>
        <w:ind w:left="1374" w:firstLine="1194"/>
      </w:pPr>
      <w:rPr>
        <w:vertAlign w:val="baseline"/>
      </w:rPr>
    </w:lvl>
    <w:lvl w:ilvl="3">
      <w:start w:val="1"/>
      <w:numFmt w:val="decimal"/>
      <w:lvlText w:val="%4."/>
      <w:lvlJc w:val="left"/>
      <w:pPr>
        <w:ind w:left="2094" w:firstLine="1734"/>
      </w:pPr>
      <w:rPr>
        <w:vertAlign w:val="baseline"/>
      </w:rPr>
    </w:lvl>
    <w:lvl w:ilvl="4">
      <w:start w:val="1"/>
      <w:numFmt w:val="lowerLetter"/>
      <w:lvlText w:val="%5."/>
      <w:lvlJc w:val="left"/>
      <w:pPr>
        <w:ind w:left="2814" w:firstLine="2454"/>
      </w:pPr>
      <w:rPr>
        <w:vertAlign w:val="baseline"/>
      </w:rPr>
    </w:lvl>
    <w:lvl w:ilvl="5">
      <w:start w:val="1"/>
      <w:numFmt w:val="lowerRoman"/>
      <w:lvlText w:val="%6."/>
      <w:lvlJc w:val="right"/>
      <w:pPr>
        <w:ind w:left="3534" w:firstLine="3354"/>
      </w:pPr>
      <w:rPr>
        <w:vertAlign w:val="baseline"/>
      </w:rPr>
    </w:lvl>
    <w:lvl w:ilvl="6">
      <w:start w:val="1"/>
      <w:numFmt w:val="decimal"/>
      <w:lvlText w:val="%7."/>
      <w:lvlJc w:val="left"/>
      <w:pPr>
        <w:ind w:left="4254" w:firstLine="3894"/>
      </w:pPr>
      <w:rPr>
        <w:vertAlign w:val="baseline"/>
      </w:rPr>
    </w:lvl>
    <w:lvl w:ilvl="7">
      <w:start w:val="1"/>
      <w:numFmt w:val="lowerLetter"/>
      <w:lvlText w:val="%8."/>
      <w:lvlJc w:val="left"/>
      <w:pPr>
        <w:ind w:left="4974" w:firstLine="4614"/>
      </w:pPr>
      <w:rPr>
        <w:vertAlign w:val="baseline"/>
      </w:rPr>
    </w:lvl>
    <w:lvl w:ilvl="8">
      <w:start w:val="1"/>
      <w:numFmt w:val="lowerRoman"/>
      <w:lvlText w:val="%9."/>
      <w:lvlJc w:val="right"/>
      <w:pPr>
        <w:ind w:left="5694" w:firstLine="5514"/>
      </w:pPr>
      <w:rPr>
        <w:vertAlign w:val="baseline"/>
      </w:rPr>
    </w:lvl>
  </w:abstractNum>
  <w:abstractNum w:abstractNumId="5">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