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SCI-377-2011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Eugenio Trejos, Rector</w:t>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Ing. Giannina Ortiz, Vicerrectora de Docencia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Jorge Mena, Vicerrector de Administración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Marcel Hernández, Director Oficina de Planificación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Ing. Saúl Fernández, Director Oficina de Ingeniería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Dra. Hannia Rodríguez, Directora Depto. Recursos Humanos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Florencio Prendas, Director Departamento de Administración de Mantenimiento</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12 de mayo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43" w:hanging="2.9999999999999982"/>
              <w:contextualSpacing w:val="0"/>
              <w:jc w:val="both"/>
            </w:pPr>
            <w:r w:rsidDel="00000000" w:rsidR="00000000" w:rsidRPr="00000000">
              <w:rPr>
                <w:rFonts w:ascii="Arial" w:cs="Arial" w:eastAsia="Arial" w:hAnsi="Arial"/>
                <w:b w:val="1"/>
                <w:sz w:val="22"/>
                <w:szCs w:val="22"/>
                <w:vertAlign w:val="baseline"/>
                <w:rtl w:val="0"/>
              </w:rPr>
              <w:t xml:space="preserve">Sesión Ordinaria No. 2712 Artículo 13, del 12 de mayo del 2011. Ejecución de  Planes 2009 (Infraestructura, Equipamiento y Capacitación y Becas) y de Planes 2010 (Equipamiento y Capacitación y Becas), según acuerdo de la Sesión Extraordinaria No 2699, Artículo Único, inciso 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2576, Artículo 14, del 18 de setiembre de 2008 “Plan de Infraestructura  para el año 2009” aprobó el Plan de Infraestructura 2009 y en lo que interesa indica: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418" w:hanging="709"/>
        <w:contextualSpacing w:val="0"/>
        <w:jc w:val="both"/>
      </w:pPr>
      <w:r w:rsidDel="00000000" w:rsidR="00000000" w:rsidRPr="00000000">
        <w:rPr>
          <w:rFonts w:ascii="Arial" w:cs="Arial" w:eastAsia="Arial" w:hAnsi="Arial"/>
          <w:i w:val="1"/>
          <w:sz w:val="22"/>
          <w:szCs w:val="22"/>
          <w:vertAlign w:val="baseline"/>
          <w:rtl w:val="0"/>
        </w:rPr>
        <w:t xml:space="preserve">“a.</w:t>
        <w:tab/>
        <w:t xml:space="preserve">Aprobar el Plan de Infraestructura para el año 2009, exceptuando la construcción de la Casa de protocolo de Cartago.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1418" w:hanging="709"/>
        <w:contextualSpacing w:val="0"/>
        <w:jc w:val="both"/>
      </w:pPr>
      <w:r w:rsidDel="00000000" w:rsidR="00000000" w:rsidRPr="00000000">
        <w:rPr>
          <w:rFonts w:ascii="Arial" w:cs="Arial" w:eastAsia="Arial" w:hAnsi="Arial"/>
          <w:i w:val="1"/>
          <w:sz w:val="22"/>
          <w:szCs w:val="22"/>
          <w:vertAlign w:val="baseline"/>
          <w:rtl w:val="0"/>
        </w:rPr>
        <w:t xml:space="preserve">b.</w:t>
        <w:tab/>
        <w:t xml:space="preserve">Encomendar a la Administración que los recursos que se liberan de este proyecto se redireccionen al reforzamiento de la infraestructura que requieran las escuelas que están en proceso de acreditación.</w:t>
      </w:r>
      <w:r w:rsidDel="00000000" w:rsidR="00000000" w:rsidRPr="00000000">
        <w:rPr>
          <w:rtl w:val="0"/>
        </w:rPr>
      </w:r>
    </w:p>
    <w:p w:rsidR="00000000" w:rsidDel="00000000" w:rsidP="00000000" w:rsidRDefault="00000000" w:rsidRPr="00000000">
      <w:pPr>
        <w:ind w:left="1418" w:hanging="709"/>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1418" w:hanging="709"/>
        <w:contextualSpacing w:val="0"/>
        <w:jc w:val="both"/>
      </w:pPr>
      <w:r w:rsidDel="00000000" w:rsidR="00000000" w:rsidRPr="00000000">
        <w:rPr>
          <w:rFonts w:ascii="Arial" w:cs="Arial" w:eastAsia="Arial" w:hAnsi="Arial"/>
          <w:i w:val="1"/>
          <w:sz w:val="22"/>
          <w:szCs w:val="22"/>
          <w:vertAlign w:val="baseline"/>
          <w:rtl w:val="0"/>
        </w:rPr>
        <w:t xml:space="preserve">d.</w:t>
        <w:tab/>
        <w:t xml:space="preserve">Postergar para el 2009, el análisis de financiamiento por medio de préstamo bancario solicitado para el desarrollo de ciertos proyectos incorporados en el Plan de Infraestructura presentado por la Administración; hasta tanto se analice con mayor detalle la conveniencia y costo de oportunidad de estas y otras modalidades de financiamiento;  asimismo, se dé un análisis de la relación existente entre la ejecución física y financiera de las inversiones con la correspondiente justificación de las diferencias entre ambos.”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2699, Artículo Único, del 16 de febrero del 2011 “Liquidación Presupuestaria al 31 de diciembre del 2010 y solicitud de informes de ejecución de planes”, en su inciso d,  acordó lo siguiente:</w:t>
      </w:r>
      <w:r w:rsidDel="00000000" w:rsidR="00000000" w:rsidRPr="00000000">
        <w:rPr>
          <w:rtl w:val="0"/>
        </w:rPr>
      </w:r>
    </w:p>
    <w:p w:rsidR="00000000" w:rsidDel="00000000" w:rsidP="00000000" w:rsidRDefault="00000000" w:rsidRPr="00000000">
      <w:pPr>
        <w:ind w:right="320"/>
        <w:contextualSpacing w:val="0"/>
        <w:jc w:val="both"/>
      </w:pPr>
      <w:r w:rsidDel="00000000" w:rsidR="00000000" w:rsidRPr="00000000">
        <w:rPr>
          <w:rtl w:val="0"/>
        </w:rPr>
      </w:r>
    </w:p>
    <w:p w:rsidR="00000000" w:rsidDel="00000000" w:rsidP="00000000" w:rsidRDefault="00000000" w:rsidRPr="00000000">
      <w:pPr>
        <w:ind w:left="1260" w:right="320" w:hanging="418"/>
        <w:contextualSpacing w:val="0"/>
        <w:jc w:val="both"/>
      </w:pPr>
      <w:r w:rsidDel="00000000" w:rsidR="00000000" w:rsidRPr="00000000">
        <w:rPr>
          <w:rFonts w:ascii="Arial" w:cs="Arial" w:eastAsia="Arial" w:hAnsi="Arial"/>
          <w:i w:val="1"/>
          <w:sz w:val="22"/>
          <w:szCs w:val="22"/>
          <w:vertAlign w:val="baseline"/>
          <w:rtl w:val="0"/>
        </w:rPr>
        <w:t xml:space="preserve">“d. Solicitar a la Administración la presentación de un informe de la ejecución de los planes anuales 2010 de Infraestructura, de Tecnologías de Información y Equipamiento, de Mantenimiento y de Capacitación y Becas; así como los Informes de ejecución de los planes anuales 2009 de Infraestructura, de Mantenimiento, de Equipamiento (tecnologías de información y equipo científico-tecnológico), a más tardar el 16 de marzo de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R-0205-2011, con fecha 18 de marzo de 2011, suscrito por el Máster  Eugenio Trejos, Rector, dirigida a la BQ. Grettel Castro, Coordinadora de la Comisión de Planificación y Administración en el cual remite el Informe de Ejecución del Plan de Infraestructura 2009. Del que se extrae el siguiente resumen:</w:t>
      </w:r>
      <w:r w:rsidDel="00000000" w:rsidR="00000000" w:rsidRPr="00000000">
        <w:rPr>
          <w:rtl w:val="0"/>
        </w:rPr>
      </w:r>
    </w:p>
    <w:p w:rsidR="00000000" w:rsidDel="00000000" w:rsidP="00000000" w:rsidRDefault="00000000" w:rsidRPr="00000000">
      <w:pPr>
        <w:spacing w:before="0" w:lineRule="auto"/>
        <w:ind w:left="851" w:firstLine="0"/>
        <w:contextualSpacing w:val="0"/>
      </w:pPr>
      <w:r w:rsidDel="00000000" w:rsidR="00000000" w:rsidRPr="00000000">
        <w:rPr>
          <w:rtl w:val="0"/>
        </w:rPr>
      </w:r>
    </w:p>
    <w:tbl>
      <w:tblPr>
        <w:tblStyle w:val="Table2"/>
        <w:bidi w:val="0"/>
        <w:tblW w:w="9848.0" w:type="dxa"/>
        <w:jc w:val="left"/>
        <w:tblInd w:w="-108.0" w:type="dxa"/>
        <w:tblBorders>
          <w:top w:color="8064a2" w:space="0" w:sz="8" w:val="single"/>
          <w:left w:color="000000" w:space="0" w:sz="0" w:val="nil"/>
          <w:bottom w:color="8064a2" w:space="0" w:sz="8" w:val="single"/>
          <w:right w:color="000000" w:space="0" w:sz="0" w:val="nil"/>
          <w:insideH w:color="000000" w:space="0" w:sz="0" w:val="nil"/>
          <w:insideV w:color="000000" w:space="0" w:sz="0" w:val="nil"/>
        </w:tblBorders>
        <w:tblLayout w:type="fixed"/>
        <w:tblLook w:val="0000"/>
      </w:tblPr>
      <w:tblGrid>
        <w:gridCol w:w="3667"/>
        <w:gridCol w:w="1595"/>
        <w:gridCol w:w="1484"/>
        <w:gridCol w:w="3102"/>
        <w:tblGridChange w:id="0">
          <w:tblGrid>
            <w:gridCol w:w="3667"/>
            <w:gridCol w:w="1595"/>
            <w:gridCol w:w="1484"/>
            <w:gridCol w:w="3102"/>
          </w:tblGrid>
        </w:tblGridChange>
      </w:tblGrid>
      <w:tr>
        <w:tc>
          <w:tcPr>
            <w:tcBorders>
              <w:top w:color="8064a2" w:space="0" w:sz="8" w:val="single"/>
              <w:left w:color="000000" w:space="0" w:sz="0" w:val="nil"/>
              <w:bottom w:color="8064a2" w:space="0" w:sz="8"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PROYECTO</w:t>
            </w:r>
            <w:r w:rsidDel="00000000" w:rsidR="00000000" w:rsidRPr="00000000">
              <w:rPr>
                <w:rtl w:val="0"/>
              </w:rPr>
            </w:r>
          </w:p>
        </w:tc>
        <w:tc>
          <w:tcPr>
            <w:tcBorders>
              <w:top w:color="8064a2" w:space="0" w:sz="8" w:val="single"/>
              <w:left w:color="000000" w:space="0" w:sz="0" w:val="nil"/>
              <w:bottom w:color="8064a2"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APROBADO PLAN 2009(S-2576/art.14/18-09-08 )</w:t>
            </w:r>
            <w:r w:rsidDel="00000000" w:rsidR="00000000" w:rsidRPr="00000000">
              <w:rPr>
                <w:rtl w:val="0"/>
              </w:rPr>
            </w:r>
          </w:p>
        </w:tc>
        <w:tc>
          <w:tcPr>
            <w:tcBorders>
              <w:top w:color="8064a2" w:space="0" w:sz="8" w:val="single"/>
              <w:left w:color="000000" w:space="0" w:sz="0" w:val="nil"/>
              <w:bottom w:color="8064a2"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APROBADO PRESUP FEES (S-2578/art.4/29-09-09)</w:t>
            </w:r>
            <w:r w:rsidDel="00000000" w:rsidR="00000000" w:rsidRPr="00000000">
              <w:rPr>
                <w:rtl w:val="0"/>
              </w:rPr>
            </w:r>
          </w:p>
        </w:tc>
        <w:tc>
          <w:tcPr>
            <w:tcBorders>
              <w:top w:color="8064a2" w:space="0" w:sz="8" w:val="single"/>
              <w:left w:color="000000" w:space="0" w:sz="0" w:val="nil"/>
              <w:bottom w:color="8064a2" w:space="0" w:sz="8"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ESTADO A DIC. 2009</w:t>
            </w:r>
            <w:r w:rsidDel="00000000" w:rsidR="00000000" w:rsidRPr="00000000">
              <w:rPr>
                <w:rtl w:val="0"/>
              </w:rPr>
            </w:r>
          </w:p>
        </w:tc>
      </w:tr>
      <w:tr>
        <w:tc>
          <w:tcPr>
            <w:tcBorders>
              <w:top w:color="8064a2" w:space="0" w:sz="8" w:val="single"/>
              <w:left w:color="000000" w:space="0" w:sz="0" w:val="nil"/>
              <w:bottom w:color="000000" w:space="0" w:sz="0" w:val="nil"/>
              <w:right w:color="000000" w:space="0" w:sz="0" w:val="nil"/>
            </w:tcBorders>
            <w:shd w:fill="dfd8e8"/>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Lab. de Computadoras SC</w:t>
            </w:r>
            <w:r w:rsidDel="00000000" w:rsidR="00000000" w:rsidRPr="00000000">
              <w:rPr>
                <w:rtl w:val="0"/>
              </w:rPr>
            </w:r>
          </w:p>
        </w:tc>
        <w:tc>
          <w:tcPr>
            <w:tcBorders>
              <w:top w:color="8064a2" w:space="0" w:sz="8" w:val="single"/>
              <w:left w:color="000000" w:space="0" w:sz="0" w:val="nil"/>
              <w:bottom w:color="000000" w:space="0" w:sz="0" w:val="nil"/>
              <w:right w:color="000000" w:space="0" w:sz="0" w:val="nil"/>
            </w:tcBorders>
            <w:shd w:fill="dfd8e8"/>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sí</w:t>
            </w:r>
            <w:r w:rsidDel="00000000" w:rsidR="00000000" w:rsidRPr="00000000">
              <w:rPr>
                <w:rtl w:val="0"/>
              </w:rPr>
            </w:r>
          </w:p>
        </w:tc>
        <w:tc>
          <w:tcPr>
            <w:tcBorders>
              <w:top w:color="8064a2" w:space="0" w:sz="8" w:val="single"/>
              <w:left w:color="000000" w:space="0" w:sz="0" w:val="nil"/>
              <w:bottom w:color="000000" w:space="0" w:sz="0" w:val="nil"/>
              <w:right w:color="000000" w:space="0" w:sz="0" w:val="nil"/>
            </w:tcBorders>
            <w:shd w:fill="dfd8e8"/>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150</w:t>
            </w:r>
            <w:r w:rsidDel="00000000" w:rsidR="00000000" w:rsidRPr="00000000">
              <w:rPr>
                <w:rtl w:val="0"/>
              </w:rPr>
            </w:r>
          </w:p>
        </w:tc>
        <w:tc>
          <w:tcPr>
            <w:tcBorders>
              <w:top w:color="8064a2" w:space="0" w:sz="8" w:val="single"/>
              <w:left w:color="000000" w:space="0" w:sz="0" w:val="nil"/>
              <w:bottom w:color="000000" w:space="0" w:sz="0" w:val="nil"/>
              <w:right w:color="000000" w:space="0" w:sz="0" w:val="nil"/>
            </w:tcBorders>
            <w:shd w:fill="dfd8e8"/>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Licitación iniciada 10/09, inicio obra 03/10.</w:t>
            </w:r>
            <w:r w:rsidDel="00000000" w:rsidR="00000000" w:rsidRPr="00000000">
              <w:rPr>
                <w:rtl w:val="0"/>
              </w:rPr>
            </w:r>
          </w:p>
        </w:tc>
      </w:tr>
      <w:tr>
        <w:tc>
          <w:tcPr>
            <w:tcBorders>
              <w:top w:color="000000" w:space="0" w:sz="0" w:val="nil"/>
              <w:bottom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Núcleo Integrado Inv y Doc. Biotecnología</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sí</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650</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No ejecutado, presup en compromiso; no ingresaron recursos del FEES</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Núcleo TIC Electrónica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sí</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Sin financ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r>
        <w:tc>
          <w:tcPr>
            <w:tcBorders>
              <w:top w:color="000000" w:space="0" w:sz="0" w:val="nil"/>
              <w:bottom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Núcleo TIC Computación</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sí</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Sin Financ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Tercer Nivel Edif. Adm de Empresas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sí</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240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Reforzamiento del edificio y estructura y techo de 3 piso: Licitación concluida e inicio de obras 10/09 para concluir marzo 2010.</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Arial" w:cs="Arial" w:eastAsia="Arial" w:hAnsi="Arial"/>
                <w:sz w:val="20"/>
                <w:szCs w:val="20"/>
                <w:vertAlign w:val="baseline"/>
                <w:rtl w:val="0"/>
              </w:rPr>
              <w:t xml:space="preserve">Remodelación 3 piso: Licitación iniciada 10/09, concluye en 2010</w:t>
            </w:r>
            <w:r w:rsidDel="00000000" w:rsidR="00000000" w:rsidRPr="00000000">
              <w:rPr>
                <w:rtl w:val="0"/>
              </w:rPr>
            </w:r>
          </w:p>
        </w:tc>
      </w:tr>
      <w:tr>
        <w:tc>
          <w:tcPr>
            <w:tcBorders>
              <w:top w:color="000000" w:space="0" w:sz="0" w:val="nil"/>
              <w:bottom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Remodelación Edif. Anexo y Elevador CASJ</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sí</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260</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Elevador comprado</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sz w:val="20"/>
                <w:szCs w:val="20"/>
                <w:vertAlign w:val="baseline"/>
                <w:rtl w:val="0"/>
              </w:rPr>
              <w:t xml:space="preserve">Licitación del ducto en 09/09, desierta 10/09</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sz w:val="20"/>
                <w:szCs w:val="20"/>
                <w:vertAlign w:val="baseline"/>
                <w:rtl w:val="0"/>
              </w:rPr>
              <w:t xml:space="preserve">Iniciar nueva licitación en 2010.</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Arial" w:cs="Arial" w:eastAsia="Arial" w:hAnsi="Arial"/>
                <w:sz w:val="20"/>
                <w:szCs w:val="20"/>
                <w:vertAlign w:val="baseline"/>
                <w:rtl w:val="0"/>
              </w:rPr>
              <w:t xml:space="preserve">Licitación de reestructuración sísmica 09/09, infructuosa 12/09. Se dejó compromiso para 2010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Edif. Esc. Seguridad Laboral e Higiene Amb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sí</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No ejecutado, presup en compromiso; no ingresaron recursos del FEES</w:t>
            </w:r>
            <w:r w:rsidDel="00000000" w:rsidR="00000000" w:rsidRPr="00000000">
              <w:rPr>
                <w:rtl w:val="0"/>
              </w:rPr>
            </w:r>
          </w:p>
        </w:tc>
      </w:tr>
      <w:tr>
        <w:tc>
          <w:tcPr>
            <w:tcBorders>
              <w:top w:color="000000" w:space="0" w:sz="0" w:val="nil"/>
              <w:bottom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Residencias Estudiantiles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sí</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Sin financ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Casa de Protocolo (Prof. Visitantes)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bottom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Piscina Sede San Carlos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sí</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Licitación iniciada 10/09, inicio obras 2010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Cafetería Área Deportiva y Centro de las Artes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sí</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fd8e8"/>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No ejecutado, presup en compromiso; no ingresaron recursos del FEES</w:t>
            </w:r>
            <w:r w:rsidDel="00000000" w:rsidR="00000000" w:rsidRPr="00000000">
              <w:rPr>
                <w:rtl w:val="0"/>
              </w:rPr>
            </w:r>
          </w:p>
        </w:tc>
      </w:tr>
      <w:tr>
        <w:tc>
          <w:tcPr>
            <w:tcBorders>
              <w:top w:color="000000" w:space="0" w:sz="0" w:val="nil"/>
              <w:bottom w:color="8064a2"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Infraestructura para Acreditación Docencia (1)</w:t>
            </w:r>
            <w:r w:rsidDel="00000000" w:rsidR="00000000" w:rsidRPr="00000000">
              <w:rPr>
                <w:rtl w:val="0"/>
              </w:rPr>
            </w:r>
          </w:p>
        </w:tc>
        <w:tc>
          <w:tcPr>
            <w:tcBorders>
              <w:top w:color="000000" w:space="0" w:sz="0" w:val="nil"/>
              <w:bottom w:color="8064a2"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sí</w:t>
            </w:r>
            <w:r w:rsidDel="00000000" w:rsidR="00000000" w:rsidRPr="00000000">
              <w:rPr>
                <w:rtl w:val="0"/>
              </w:rPr>
            </w:r>
          </w:p>
        </w:tc>
        <w:tc>
          <w:tcPr>
            <w:tcBorders>
              <w:top w:color="000000" w:space="0" w:sz="0" w:val="nil"/>
              <w:bottom w:color="8064a2"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200</w:t>
            </w:r>
            <w:r w:rsidDel="00000000" w:rsidR="00000000" w:rsidRPr="00000000">
              <w:rPr>
                <w:rtl w:val="0"/>
              </w:rPr>
            </w:r>
          </w:p>
        </w:tc>
        <w:tc>
          <w:tcPr>
            <w:tcBorders>
              <w:top w:color="000000" w:space="0" w:sz="0" w:val="nil"/>
              <w:bottom w:color="8064a2" w:space="0" w:sz="8"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Edif. Ing. Agrícola: Licitación concluida e inicio de obra 09/09 para concluir en marzo 2010.</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Arial" w:cs="Arial" w:eastAsia="Arial" w:hAnsi="Arial"/>
                <w:sz w:val="20"/>
                <w:szCs w:val="20"/>
                <w:vertAlign w:val="baseline"/>
                <w:rtl w:val="0"/>
              </w:rPr>
              <w:t xml:space="preserve">Edif. Ing. Agropecuaria Administrativa: Licitación concluida e inicio de obra 09/09 para concluir en marzo 2010.</w:t>
            </w:r>
            <w:r w:rsidDel="00000000" w:rsidR="00000000" w:rsidRPr="00000000">
              <w:rPr>
                <w:rtl w:val="0"/>
              </w:rPr>
            </w:r>
          </w:p>
        </w:tc>
      </w:tr>
    </w:tbl>
    <w:p w:rsidR="00000000" w:rsidDel="00000000" w:rsidP="00000000" w:rsidRDefault="00000000" w:rsidRPr="00000000">
      <w:pPr>
        <w:spacing w:after="0" w:lineRule="auto"/>
        <w:ind w:left="851" w:firstLine="0"/>
        <w:contextualSpacing w:val="0"/>
      </w:pPr>
      <w:r w:rsidDel="00000000" w:rsidR="00000000" w:rsidRPr="00000000">
        <w:rPr>
          <w:rFonts w:ascii="Arial" w:cs="Arial" w:eastAsia="Arial" w:hAnsi="Arial"/>
          <w:sz w:val="20"/>
          <w:szCs w:val="20"/>
          <w:vertAlign w:val="baseline"/>
          <w:rtl w:val="0"/>
        </w:rPr>
        <w:t xml:space="preserve">1: No estaba en la propuesta inicial de la Administración, lo aprobó el Consejo</w:t>
      </w:r>
      <w:r w:rsidDel="00000000" w:rsidR="00000000" w:rsidRPr="00000000">
        <w:rPr>
          <w:rtl w:val="0"/>
        </w:rPr>
      </w:r>
    </w:p>
    <w:p w:rsidR="00000000" w:rsidDel="00000000" w:rsidP="00000000" w:rsidRDefault="00000000" w:rsidRPr="00000000">
      <w:pPr>
        <w:spacing w:after="0" w:before="0" w:lineRule="auto"/>
        <w:ind w:left="851"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aprobó en la Sesión Ordinaria No 2576, Artículo 15, del 18 de setiembre de 2008 “Plan de Equipamiento para el año 2009”.</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aprobó en la Sesión Ordinaria No 2647, Artículo 12b, del 04 de febrero de 2010 “Plan de Equipamiento para el año 2010”.</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aprobó en la Sesión Ordinaria No 2647, Artículo 12c, del 04 de febrero de 2010 “Plan de Capacitación para el año 2010”.</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aprobó en la Sesión Ordinaria No. 2662, Artículo 10, del 27 de mayo del 2010. “Modificaciones a los Planes Infraestructura, Equipamiento, Informático y Capacitación, según acuerdo tomado en Sesión Ordinaria No. 2654, Artículo 11, inciso d, del 25 de marzo de 2010. “Modificación presupuestaria No. 01-2010”, producto de la modificación presupuestaria 01-2010 y el presupuesto extraordinario 01-2010.</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recibe oficio R-0197-2011 del 16 de marzo de 2011, suscrito por el M.Sc. Eugenio Trejos Benavides, Rector, dirigido a la B.Q. Grettel Castro, Coordinadora de la Comisión de Planificación y Administración, en el cual adjunta el informe de Evaluación del  Plan de Equipamiento 2009-2010.</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aprobó en la Sesión Ordinaria No 2575, Artículo 13, del 11 de setiembre de 2008 “Plan de Becas y Capacitación Interna  para el año 2009”.</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recibe oficio VAD-026-2011 del 02 de febrero de 2011, suscrito por el MAE. Jorge Mena Calderón, Vicerrector de Administración, dirigido a la B.Q. Grettel Castro, Coordinadora de la Comisión de Planificación y Administración, en el cual remite el oficio RH-314-2010, de fecha 9 de marzo de 2010 que anexa a su vez la Evaluación del Plan de Capacitación y Becas correspondiente al período 2009.  Asimismo ofrece las disculpas del caso, dado que por omisión no se remitió en su momento.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recibe oficio R-107-2011 del 15 de febrero de 2011, suscrito por el M.Sc. Eugenio Trejos Benavides, Rector, dirigido a la B.Q. Grettel Castro, Coordinadora de la Comisión de Planificación y Administración, en el cual remite la Evaluación de los Planes de Infraestructura, Mantenimiento y Capacitación y Becas 2010.</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406-2011, celebrada el 06 de mayo de 2011, procedió al análisis de los Informes de Ejecución de los Planes 2009 de Infraestructura, Equipamiento, Capacitación y Becas y de los Planes 2010 de Equipamiento y Capacitación y Becas y  dispone  dar por conocidos los Informes de Ejecución de los Planes Anuales 2009 de Infraestructura, Equipamiento y de los Planes 2010 de Equipamiento y Capacitación y Becas y elevar la propuesta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1"/>
        </w:numPr>
        <w:ind w:left="72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por conocido el Informe de Ejecución del Plan Anual de Infraestructura 2009, según al oficio R-0205-2011. (el cual se anexa).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1"/>
          <w:numId w:val="1"/>
        </w:numPr>
        <w:ind w:left="72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por conocidos los Informes de Ejecución del Plan Anual de Capacitación y Becas 2009 y 2010 remitidos en los oficios  VAD-026-2011 y R-007-2011, respectivamente. (los cuales se anexan).</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1"/>
          <w:numId w:val="1"/>
        </w:numPr>
        <w:ind w:left="72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por conocidos los Informes de Ejecución del Plan Anual de Equipamiento (Equipamiento e Informático) 2009 y 2010, según oficio R-0197-2011.  (el cual se anexa)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1"/>
        </w:numPr>
        <w:ind w:left="72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Recordar a la Administración, que además de los informes semestrales de los Planes solicitados en la Sesión No. 2708, Artículo 13, inciso b., del 07 de abril de 2011 “Cronograma 2011 para la Formulación del Plan Anual Operativo y Presupuesto Ordinario 2012”,  los informes Finales de Evaluación de Planes, deben presentarse a inicio del año siguiente de su ejecución con la Liquidación Presupuestaria y la Evaluación del Plan Anual Operativo.</w:t>
      </w:r>
      <w:r w:rsidDel="00000000" w:rsidR="00000000" w:rsidRPr="00000000">
        <w:rPr>
          <w:rtl w:val="0"/>
        </w:rPr>
      </w:r>
    </w:p>
    <w:p w:rsidR="00000000" w:rsidDel="00000000" w:rsidP="00000000" w:rsidRDefault="00000000" w:rsidRPr="00000000">
      <w:pPr>
        <w:tabs>
          <w:tab w:val="left" w:pos="6720"/>
        </w:tabs>
        <w:ind w:left="567" w:hanging="567"/>
        <w:contextualSpacing w:val="0"/>
        <w:jc w:val="both"/>
      </w:pPr>
      <w:r w:rsidDel="00000000" w:rsidR="00000000" w:rsidRPr="00000000">
        <w:rPr>
          <w:rtl w:val="0"/>
        </w:rPr>
      </w:r>
    </w:p>
    <w:p w:rsidR="00000000" w:rsidDel="00000000" w:rsidP="00000000" w:rsidRDefault="00000000" w:rsidRPr="00000000">
      <w:pPr>
        <w:numPr>
          <w:ilvl w:val="1"/>
          <w:numId w:val="1"/>
        </w:numPr>
        <w:ind w:left="72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4"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2712, Artículo 13,  del 12 de mayo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