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SCI-507-2011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Eugenio Trejos, Rector</w:t>
            </w:r>
            <w:r w:rsidDel="00000000" w:rsidR="00000000" w:rsidRPr="00000000">
              <w:rPr>
                <w:rtl w:val="0"/>
              </w:rPr>
            </w:r>
          </w:p>
          <w:p w:rsidR="00000000" w:rsidDel="00000000" w:rsidP="00000000" w:rsidRDefault="00000000" w:rsidRPr="00000000">
            <w:pPr>
              <w:ind w:left="26" w:right="51" w:firstLine="3.999999999999999"/>
              <w:contextualSpacing w:val="0"/>
              <w:jc w:val="both"/>
            </w:pPr>
            <w:r w:rsidDel="00000000" w:rsidR="00000000" w:rsidRPr="00000000">
              <w:rPr>
                <w:rFonts w:ascii="Arial" w:cs="Arial" w:eastAsia="Arial" w:hAnsi="Arial"/>
                <w:sz w:val="22"/>
                <w:szCs w:val="22"/>
                <w:vertAlign w:val="baseline"/>
                <w:rtl w:val="0"/>
              </w:rPr>
              <w:t xml:space="preserve">MAE. Jorge Mena Calderón, Vicerrector de Administración</w:t>
            </w:r>
            <w:r w:rsidDel="00000000" w:rsidR="00000000" w:rsidRPr="00000000">
              <w:rPr>
                <w:rtl w:val="0"/>
              </w:rPr>
            </w:r>
          </w:p>
          <w:p w:rsidR="00000000" w:rsidDel="00000000" w:rsidP="00000000" w:rsidRDefault="00000000" w:rsidRPr="00000000">
            <w:pPr>
              <w:ind w:left="26" w:right="51" w:firstLine="3.999999999999999"/>
              <w:contextualSpacing w:val="0"/>
              <w:jc w:val="both"/>
            </w:pPr>
            <w:r w:rsidDel="00000000" w:rsidR="00000000" w:rsidRPr="00000000">
              <w:rPr>
                <w:rFonts w:ascii="Arial" w:cs="Arial" w:eastAsia="Arial" w:hAnsi="Arial"/>
                <w:sz w:val="22"/>
                <w:szCs w:val="22"/>
                <w:vertAlign w:val="baseline"/>
                <w:rtl w:val="0"/>
              </w:rPr>
              <w:t xml:space="preserve">MAE. MA. Auxiliadora Navarro, Directora Departamento Financiero Contable</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23 de junio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Sesión Ordinaria No. 2719, Artículo 8, del 23 de junio del 2011. Autorización de uso de la Reserva Salarial para atender ajuste del II Semestre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Segunda Convención Colectiva de Trabajo y sus Reformas, en su Capítulo 4: Salarios, artículo 20, en lo conducente dice:</w:t>
      </w: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Fonts w:ascii="Arial" w:cs="Arial" w:eastAsia="Arial" w:hAnsi="Arial"/>
          <w:i w:val="1"/>
          <w:sz w:val="20"/>
          <w:szCs w:val="20"/>
          <w:vertAlign w:val="baseline"/>
          <w:rtl w:val="0"/>
        </w:rPr>
        <w:t xml:space="preserve">“Artículo 20 </w:t>
      </w: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Fonts w:ascii="Arial" w:cs="Arial" w:eastAsia="Arial" w:hAnsi="Arial"/>
          <w:i w:val="1"/>
          <w:sz w:val="20"/>
          <w:szCs w:val="20"/>
          <w:vertAlign w:val="baseline"/>
          <w:rtl w:val="0"/>
        </w:rPr>
        <w:t xml:space="preserve">Todo incremento salarial general para los trabajadores, ya sea éste a la base o como sobresueldo, </w:t>
      </w:r>
      <w:r w:rsidDel="00000000" w:rsidR="00000000" w:rsidRPr="00000000">
        <w:rPr>
          <w:rFonts w:ascii="Arial" w:cs="Arial" w:eastAsia="Arial" w:hAnsi="Arial"/>
          <w:b w:val="1"/>
          <w:i w:val="1"/>
          <w:sz w:val="20"/>
          <w:szCs w:val="20"/>
          <w:vertAlign w:val="baseline"/>
          <w:rtl w:val="0"/>
        </w:rPr>
        <w:t xml:space="preserve">deberá ser negociado y pactado con el titular de la presente Convención Colectiva de Trabajo, y mediante los procedimientos que aquí se establecen</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Fonts w:ascii="Arial" w:cs="Arial" w:eastAsia="Arial" w:hAnsi="Arial"/>
          <w:i w:val="1"/>
          <w:sz w:val="20"/>
          <w:szCs w:val="20"/>
          <w:vertAlign w:val="baseline"/>
          <w:rtl w:val="0"/>
        </w:rPr>
        <w:t xml:space="preserve">…” (el resaltado no es del original)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RH-711-2011, de fecha 08 de junio de 2011, suscrito por la MBA. Ma. Isabel Jiménez Mora, Directora a.i. del Departamento de Recursos Humanos, dirigido al M.Sc. Eugenio Trejos Benavides, Presidente del Consejo Institucional, en el cual remite la Propuesta de “Autorización de uso de la Reserva Salarial”, la cual en sus considerandos indica: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851"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Mediante Oficio R-1142-2010, suscrito por la Ing. Giannina Ortíz Quesada, Rectora a.i., con fecha 15 de noviembre de 2010, dirigido al Sr. Carlos Martínez, Secretario General de AFITEC, se comunica la Resolución de Rectoría RR-419-10, la cual en vista de la posición que mantuvo el Comité Ejecutivo de la AFITEC, y a fin de garantizar el aumento salarial a los funcionarios y funcionarias del ITCR resuelve los ajustes salariales para el año 2011.</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200" w:before="0" w:line="240" w:lineRule="auto"/>
        <w:ind w:left="851"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Resolución de Rectoría RR-419-10, resuelve:</w:t>
      </w:r>
      <w:r w:rsidDel="00000000" w:rsidR="00000000" w:rsidRPr="00000000">
        <w:rPr>
          <w:rtl w:val="0"/>
        </w:rPr>
      </w:r>
    </w:p>
    <w:p w:rsidR="00000000" w:rsidDel="00000000" w:rsidP="00000000" w:rsidRDefault="00000000" w:rsidRPr="00000000">
      <w:pPr>
        <w:ind w:left="851" w:right="424" w:firstLine="0"/>
        <w:contextualSpacing w:val="0"/>
        <w:jc w:val="both"/>
      </w:pPr>
      <w:r w:rsidDel="00000000" w:rsidR="00000000" w:rsidRPr="00000000">
        <w:rPr>
          <w:rFonts w:ascii="Arial" w:cs="Arial" w:eastAsia="Arial" w:hAnsi="Arial"/>
          <w:i w:val="1"/>
          <w:sz w:val="20"/>
          <w:szCs w:val="20"/>
          <w:vertAlign w:val="baseline"/>
          <w:rtl w:val="0"/>
        </w:rPr>
        <w:t xml:space="preserve">“En compensación del alza en el costo de vida, el fortalecimiento del salario base,  la equiparación salarial con las otras universidades públicas  y respondiendo a la máxima legal de seguridad jurídica que debe regir todo el actuar de la administración pública y bajo las especiales potestades que nuestro sistema de derecho nos otorga, la administración del Instituto Tecnológico de Costa Rica, en vista de la posición  que mantuvo el Comité Ejecutivo de la AFITEC, y a fin de garantizar el aumento salarial a los funcionarios y funcionarias del ITCR se acuerda:</w:t>
      </w:r>
      <w:r w:rsidDel="00000000" w:rsidR="00000000" w:rsidRPr="00000000">
        <w:rPr>
          <w:rtl w:val="0"/>
        </w:rPr>
      </w:r>
    </w:p>
    <w:p w:rsidR="00000000" w:rsidDel="00000000" w:rsidP="00000000" w:rsidRDefault="00000000" w:rsidRPr="00000000">
      <w:pPr>
        <w:ind w:left="851" w:right="424"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200" w:line="276" w:lineRule="auto"/>
        <w:ind w:left="1134" w:right="424"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Trasladar un 2% del componente salarial denominado Sobresueldo Porcentual de las categorías profesionales a la base salarial vigente a  Junio 2011, a partir del 01 de julio de 2011.</w:t>
      </w:r>
      <w:r w:rsidDel="00000000" w:rsidR="00000000" w:rsidRPr="00000000">
        <w:rPr>
          <w:rtl w:val="0"/>
        </w:rPr>
      </w:r>
    </w:p>
    <w:p w:rsidR="00000000" w:rsidDel="00000000" w:rsidP="00000000" w:rsidRDefault="00000000" w:rsidRPr="00000000">
      <w:pPr>
        <w:numPr>
          <w:ilvl w:val="0"/>
          <w:numId w:val="1"/>
        </w:numPr>
        <w:spacing w:after="200" w:line="276" w:lineRule="auto"/>
        <w:ind w:left="1134" w:right="424"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Incrementar  un monto fijo de ¢10,000 (diez mil colones con 00/100) a la base de Junio 2011 a  las categorías 1 a 16, a partir del 01 de julio de 2011.</w:t>
      </w:r>
      <w:r w:rsidDel="00000000" w:rsidR="00000000" w:rsidRPr="00000000">
        <w:rPr>
          <w:rtl w:val="0"/>
        </w:rPr>
      </w:r>
    </w:p>
    <w:p w:rsidR="00000000" w:rsidDel="00000000" w:rsidP="00000000" w:rsidRDefault="00000000" w:rsidRPr="00000000">
      <w:pPr>
        <w:ind w:left="851" w:right="424"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993" w:right="424" w:firstLine="140.99999999999994"/>
        <w:contextualSpacing w:val="0"/>
        <w:jc w:val="both"/>
      </w:pPr>
      <w:r w:rsidDel="00000000" w:rsidR="00000000" w:rsidRPr="00000000">
        <w:rPr>
          <w:rFonts w:ascii="Arial" w:cs="Arial" w:eastAsia="Arial" w:hAnsi="Arial"/>
          <w:i w:val="1"/>
          <w:sz w:val="20"/>
          <w:szCs w:val="20"/>
          <w:vertAlign w:val="baseline"/>
          <w:rtl w:val="0"/>
        </w:rPr>
        <w:t xml:space="preserve">Notifíquese.”</w:t>
      </w:r>
      <w:r w:rsidDel="00000000" w:rsidR="00000000" w:rsidRPr="00000000">
        <w:rPr>
          <w:rtl w:val="0"/>
        </w:rPr>
      </w:r>
    </w:p>
    <w:p w:rsidR="00000000" w:rsidDel="00000000" w:rsidP="00000000" w:rsidRDefault="00000000" w:rsidRPr="00000000">
      <w:pPr>
        <w:spacing w:after="0" w:before="0" w:line="36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200" w:before="0" w:line="240" w:lineRule="auto"/>
        <w:ind w:left="851"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Consejo Institucional, en la Sesión No. 2689, Artículo 2, del 16 de noviembre de 2010, aprobó el Plan Anual Operativo y Presupuesto 2011, el cual incluye la Reserva de Aumento Salarial correspondiente al año 2011 (Anexo No. 13 del Presupuesto Ordinario 2011), según el siguiente detalle:</w:t>
      </w:r>
      <w:r w:rsidDel="00000000" w:rsidR="00000000" w:rsidRPr="00000000">
        <w:rPr>
          <w:rtl w:val="0"/>
        </w:rPr>
      </w:r>
    </w:p>
    <w:tbl>
      <w:tblPr>
        <w:tblStyle w:val="Table2"/>
        <w:bidi w:val="0"/>
        <w:tblW w:w="6091.0" w:type="dxa"/>
        <w:jc w:val="center"/>
        <w:tblInd w:w="-15.0" w:type="dxa"/>
        <w:tblLayout w:type="fixed"/>
        <w:tblLook w:val="0000"/>
      </w:tblPr>
      <w:tblGrid>
        <w:gridCol w:w="3977"/>
        <w:gridCol w:w="2114"/>
        <w:tblGridChange w:id="0">
          <w:tblGrid>
            <w:gridCol w:w="3977"/>
            <w:gridCol w:w="2114"/>
          </w:tblGrid>
        </w:tblGridChange>
      </w:tblGrid>
      <w:tr>
        <w:trPr>
          <w:trHeight w:val="1000" w:hRule="atLeast"/>
        </w:trPr>
        <w:tc>
          <w:tcPr>
            <w:gridSpan w:val="2"/>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TE2385DC0t00" w:cs="TTE2385DC0t00" w:eastAsia="TTE2385DC0t00" w:hAnsi="TTE2385DC0t00"/>
                <w:b w:val="1"/>
                <w:i w:val="1"/>
                <w:sz w:val="20"/>
                <w:szCs w:val="20"/>
                <w:vertAlign w:val="baseline"/>
                <w:rtl w:val="0"/>
              </w:rPr>
              <w:t xml:space="preserve">Resumen de Reservas Ajustes Salariales</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i w:val="1"/>
                <w:sz w:val="20"/>
                <w:szCs w:val="20"/>
                <w:vertAlign w:val="baseline"/>
                <w:rtl w:val="0"/>
              </w:rPr>
              <w:t xml:space="preserve">(en colones) </w:t>
            </w:r>
            <w:r w:rsidDel="00000000" w:rsidR="00000000" w:rsidRPr="00000000">
              <w:rPr>
                <w:rtl w:val="0"/>
              </w:rPr>
            </w:r>
          </w:p>
        </w:tc>
      </w:tr>
      <w:tr>
        <w:trPr>
          <w:trHeight w:val="220" w:hRule="atLeast"/>
        </w:trPr>
        <w:tc>
          <w:tcPr>
            <w:tcBorders>
              <w:top w:color="000000" w:space="0" w:sz="0" w:val="nil"/>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c>
      </w:tr>
      <w:tr>
        <w:trPr>
          <w:trHeight w:val="360" w:hRule="atLeast"/>
        </w:trPr>
        <w:tc>
          <w:tcPr>
            <w:tcBorders>
              <w:top w:color="000000" w:space="0" w:sz="4" w:val="single"/>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 CONCEPTO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 TOTAL </w:t>
            </w:r>
            <w:r w:rsidDel="00000000" w:rsidR="00000000" w:rsidRPr="00000000">
              <w:rPr>
                <w:rtl w:val="0"/>
              </w:rPr>
            </w:r>
          </w:p>
        </w:tc>
      </w:tr>
      <w:tr>
        <w:trPr>
          <w:trHeight w:val="240" w:hRule="atLeast"/>
        </w:trPr>
        <w:tc>
          <w:tcPr>
            <w:tcBorders>
              <w:top w:color="000000" w:space="0" w:sz="4" w:val="single"/>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20"/>
                <w:szCs w:val="20"/>
                <w:vertAlign w:val="baseline"/>
                <w:rtl w:val="0"/>
              </w:rPr>
              <w:t xml:space="preserve">Sueldos para cargos fijos</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1"/>
                <w:sz w:val="20"/>
                <w:szCs w:val="20"/>
                <w:vertAlign w:val="baseline"/>
                <w:rtl w:val="0"/>
              </w:rPr>
              <w:t xml:space="preserve">     388,793,349.36 </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20"/>
                <w:szCs w:val="20"/>
                <w:vertAlign w:val="baseline"/>
                <w:rtl w:val="0"/>
              </w:rPr>
              <w:t xml:space="preserve">Retribución por años servidos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1"/>
                <w:sz w:val="20"/>
                <w:szCs w:val="20"/>
                <w:vertAlign w:val="baseline"/>
                <w:rtl w:val="0"/>
              </w:rPr>
              <w:t xml:space="preserve">     227,342,034.82 </w:t>
            </w:r>
            <w:r w:rsidDel="00000000" w:rsidR="00000000" w:rsidRPr="00000000">
              <w:rPr>
                <w:rtl w:val="0"/>
              </w:rPr>
            </w:r>
          </w:p>
        </w:tc>
      </w:tr>
      <w:tr>
        <w:trPr>
          <w:trHeight w:val="12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20"/>
                <w:szCs w:val="20"/>
                <w:vertAlign w:val="baseline"/>
                <w:rtl w:val="0"/>
              </w:rPr>
              <w:t xml:space="preserve">Restricción al ejercicio liberal de la profesión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1"/>
                <w:sz w:val="20"/>
                <w:szCs w:val="20"/>
                <w:vertAlign w:val="baseline"/>
                <w:rtl w:val="0"/>
              </w:rPr>
              <w:t xml:space="preserve">        66,245,971.32 </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20"/>
                <w:szCs w:val="20"/>
                <w:vertAlign w:val="baseline"/>
                <w:rtl w:val="0"/>
              </w:rPr>
              <w:t xml:space="preserve">Otros incentivos salariales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1"/>
                <w:sz w:val="20"/>
                <w:szCs w:val="20"/>
                <w:vertAlign w:val="baseline"/>
                <w:rtl w:val="0"/>
              </w:rPr>
              <w:t xml:space="preserve">     240,543,039.96 </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20"/>
                <w:szCs w:val="20"/>
                <w:vertAlign w:val="baseline"/>
                <w:rtl w:val="0"/>
              </w:rPr>
              <w:t xml:space="preserve">Aguinaldo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1"/>
                <w:sz w:val="20"/>
                <w:szCs w:val="20"/>
                <w:vertAlign w:val="baseline"/>
                <w:rtl w:val="0"/>
              </w:rPr>
              <w:t xml:space="preserve">        76,879,602.14 </w:t>
            </w:r>
            <w:r w:rsidDel="00000000" w:rsidR="00000000" w:rsidRPr="00000000">
              <w:rPr>
                <w:rtl w:val="0"/>
              </w:rPr>
            </w:r>
          </w:p>
        </w:tc>
      </w:tr>
      <w:tr>
        <w:trPr>
          <w:trHeight w:val="280" w:hRule="atLeast"/>
        </w:trPr>
        <w:tc>
          <w:tcPr>
            <w:tcBorders>
              <w:top w:color="000000" w:space="0" w:sz="0" w:val="nil"/>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20"/>
                <w:szCs w:val="20"/>
                <w:vertAlign w:val="baseline"/>
                <w:rtl w:val="0"/>
              </w:rPr>
              <w:t xml:space="preserve">Cargas Sociales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1"/>
                <w:sz w:val="20"/>
                <w:szCs w:val="20"/>
                <w:vertAlign w:val="baseline"/>
                <w:rtl w:val="0"/>
              </w:rPr>
              <w:t xml:space="preserve">     206,365,894.83 </w:t>
            </w:r>
            <w:r w:rsidDel="00000000" w:rsidR="00000000" w:rsidRPr="00000000">
              <w:rPr>
                <w:rtl w:val="0"/>
              </w:rPr>
            </w:r>
          </w:p>
        </w:tc>
      </w:tr>
      <w:tr>
        <w:trPr>
          <w:trHeight w:val="240" w:hRule="atLeast"/>
        </w:trPr>
        <w:tc>
          <w:tcPr>
            <w:tcBorders>
              <w:top w:color="000000" w:space="0" w:sz="4" w:val="single"/>
              <w:left w:color="000000" w:space="0" w:sz="0" w:val="nil"/>
              <w:bottom w:color="000000" w:space="0" w:sz="6"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 Total general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1"/>
                <w:i w:val="1"/>
                <w:sz w:val="20"/>
                <w:szCs w:val="20"/>
                <w:vertAlign w:val="baseline"/>
                <w:rtl w:val="0"/>
              </w:rPr>
              <w:t xml:space="preserve">  1,206,169,892.43 </w:t>
            </w:r>
            <w:r w:rsidDel="00000000" w:rsidR="00000000" w:rsidRPr="00000000">
              <w:rPr>
                <w:rtl w:val="0"/>
              </w:rPr>
            </w:r>
          </w:p>
        </w:tc>
      </w:tr>
    </w:tbl>
    <w:p w:rsidR="00000000" w:rsidDel="00000000" w:rsidP="00000000" w:rsidRDefault="00000000" w:rsidRPr="00000000">
      <w:pPr>
        <w:spacing w:after="0" w:before="0" w:line="36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851"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Se comunica la Resolución de Rectoría RR-116-2011 mediante Oficio R-0290-2011, suscrito por el M.Sc. Eugenio Trejos Benavides, Rector, con fecha 07 de abril de 2011, dirigido al Sr. Carlos Martínez, Secretario General de AFITEC, la cual en vista de la posición que mantuvo el Comité Ejecutivo de la AFITEC, y a fin de garantizar el aumento salarial a los funcionarios y funcionarias del ITCR resuelve los ajustes salariales para el año 2010.</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851"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Resolución de Rectoría RR-116-2011, resuelve: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left="851" w:right="424" w:firstLine="0"/>
        <w:contextualSpacing w:val="0"/>
        <w:jc w:val="both"/>
      </w:pPr>
      <w:r w:rsidDel="00000000" w:rsidR="00000000" w:rsidRPr="00000000">
        <w:rPr>
          <w:rFonts w:ascii="Arial" w:cs="Arial" w:eastAsia="Arial" w:hAnsi="Arial"/>
          <w:i w:val="1"/>
          <w:sz w:val="20"/>
          <w:szCs w:val="20"/>
          <w:vertAlign w:val="baseline"/>
          <w:rtl w:val="0"/>
        </w:rPr>
        <w:t xml:space="preserve">“En compensación del alza en el costo de vida, el fortalecimiento del salario base,  la equiparación salarial con las otras universidades públicas  y respondiendo a la máxima legal de seguridad jurídica que debe regir todo el actuar de la administración pública y bajo las especiales potestades que nuestro sistema de derecho nos otorga, la administración del Instituto Tecnológico de Costa Rica, en vista de la posición  que mantuvo el Comité Ejecutivo de la AFITEC, y a fin de garantizar el aumento salarial a los funcionarios y funcionarias del ITCR se acuerda:</w:t>
      </w:r>
      <w:r w:rsidDel="00000000" w:rsidR="00000000" w:rsidRPr="00000000">
        <w:rPr>
          <w:rtl w:val="0"/>
        </w:rPr>
      </w:r>
    </w:p>
    <w:p w:rsidR="00000000" w:rsidDel="00000000" w:rsidP="00000000" w:rsidRDefault="00000000" w:rsidRPr="00000000">
      <w:pPr>
        <w:numPr>
          <w:ilvl w:val="0"/>
          <w:numId w:val="5"/>
        </w:numPr>
        <w:tabs>
          <w:tab w:val="left" w:pos="426"/>
          <w:tab w:val="center" w:pos="1134"/>
        </w:tabs>
        <w:spacing w:after="0" w:before="120" w:line="240" w:lineRule="auto"/>
        <w:ind w:left="1134" w:right="476" w:hanging="283"/>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Trasladar un 1% del componente salarial denominado Sobresueldo Porcentual de las categorías  profesionales a la base salarial vigente a partir del 01 de julio de 2010.</w:t>
      </w:r>
      <w:r w:rsidDel="00000000" w:rsidR="00000000" w:rsidRPr="00000000">
        <w:rPr>
          <w:rtl w:val="0"/>
        </w:rPr>
      </w:r>
    </w:p>
    <w:p w:rsidR="00000000" w:rsidDel="00000000" w:rsidP="00000000" w:rsidRDefault="00000000" w:rsidRPr="00000000">
      <w:pPr>
        <w:numPr>
          <w:ilvl w:val="0"/>
          <w:numId w:val="5"/>
        </w:numPr>
        <w:tabs>
          <w:tab w:val="left" w:pos="426"/>
          <w:tab w:val="center" w:pos="1134"/>
        </w:tabs>
        <w:spacing w:after="0" w:before="0" w:line="240" w:lineRule="auto"/>
        <w:ind w:left="1134" w:right="476" w:hanging="283"/>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Incrementar  un monto fijo de ¢5,000 (cinco mil colones con 00/100) a la base salarial vigente al  01 de julio de 2010  a  las categorías de la 1 a la 16 a partir del 01 de julio de 2010.</w:t>
      </w:r>
      <w:r w:rsidDel="00000000" w:rsidR="00000000" w:rsidRPr="00000000">
        <w:rPr>
          <w:rtl w:val="0"/>
        </w:rPr>
      </w:r>
    </w:p>
    <w:p w:rsidR="00000000" w:rsidDel="00000000" w:rsidP="00000000" w:rsidRDefault="00000000" w:rsidRPr="00000000">
      <w:pPr>
        <w:numPr>
          <w:ilvl w:val="0"/>
          <w:numId w:val="5"/>
        </w:numPr>
        <w:tabs>
          <w:tab w:val="left" w:pos="426"/>
          <w:tab w:val="center" w:pos="1134"/>
        </w:tabs>
        <w:spacing w:after="0" w:before="0" w:line="240" w:lineRule="auto"/>
        <w:ind w:left="1134" w:right="476" w:hanging="283"/>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El pago de lo resuelto anteriormente se realizará según la programación que el Departamento de Recursos Humanos, una vez que el Presupuesto Extraordinario 01-2011 sea aprobado por las instancias correspondientes.</w:t>
      </w:r>
      <w:r w:rsidDel="00000000" w:rsidR="00000000" w:rsidRPr="00000000">
        <w:rPr>
          <w:rtl w:val="0"/>
        </w:rPr>
      </w:r>
    </w:p>
    <w:p w:rsidR="00000000" w:rsidDel="00000000" w:rsidP="00000000" w:rsidRDefault="00000000" w:rsidRPr="00000000">
      <w:pPr>
        <w:numPr>
          <w:ilvl w:val="0"/>
          <w:numId w:val="5"/>
        </w:numPr>
        <w:tabs>
          <w:tab w:val="left" w:pos="426"/>
          <w:tab w:val="center" w:pos="1134"/>
        </w:tabs>
        <w:spacing w:after="0" w:before="0" w:line="240" w:lineRule="auto"/>
        <w:ind w:left="1134" w:right="476" w:hanging="283"/>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Las Unidades o proyectos que financien sus actividades con recursos de naturaleza restringida deberán plantear las modificaciones que correspondan conforme la ejecución de las mismas lo requiera.</w:t>
      </w:r>
      <w:r w:rsidDel="00000000" w:rsidR="00000000" w:rsidRPr="00000000">
        <w:rPr>
          <w:rtl w:val="0"/>
        </w:rPr>
      </w:r>
    </w:p>
    <w:p w:rsidR="00000000" w:rsidDel="00000000" w:rsidP="00000000" w:rsidRDefault="00000000" w:rsidRPr="00000000">
      <w:pPr>
        <w:numPr>
          <w:ilvl w:val="0"/>
          <w:numId w:val="5"/>
        </w:numPr>
        <w:tabs>
          <w:tab w:val="left" w:pos="426"/>
          <w:tab w:val="center" w:pos="1134"/>
        </w:tabs>
        <w:spacing w:after="0" w:before="0" w:line="240" w:lineRule="auto"/>
        <w:ind w:left="1134" w:right="476" w:hanging="283"/>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La presente Resolución de la Rectoría se hará efectiva a partir de que se apruebe el contenido presupuestario correspondiente.”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200" w:before="0" w:line="240" w:lineRule="auto"/>
        <w:ind w:left="851" w:hanging="425"/>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Consejo Institucional, en la Sesión No. 2710 Artículo 12, del 28 de abril de 2011, aprobó el Presupuesto Extraordinario No. 01-2011 y Modificación al Plan Anual Operativo 2011, el cual incluye la Reserva de Aumento Salarial para cubrir los efectos de la Resolución de Rectoría RR-116-2011 (Presupuesto Extraordinario 1-2011), según el siguiente detalle:</w:t>
      </w:r>
      <w:r w:rsidDel="00000000" w:rsidR="00000000" w:rsidRPr="00000000">
        <w:rPr>
          <w:rtl w:val="0"/>
        </w:rPr>
      </w:r>
    </w:p>
    <w:tbl>
      <w:tblPr>
        <w:tblStyle w:val="Table3"/>
        <w:bidi w:val="0"/>
        <w:tblW w:w="5980.0" w:type="dxa"/>
        <w:jc w:val="center"/>
        <w:tblInd w:w="-14.000000000000004" w:type="dxa"/>
        <w:tblLayout w:type="fixed"/>
        <w:tblLook w:val="0000"/>
      </w:tblPr>
      <w:tblGrid>
        <w:gridCol w:w="4000"/>
        <w:gridCol w:w="1980"/>
        <w:tblGridChange w:id="0">
          <w:tblGrid>
            <w:gridCol w:w="4000"/>
            <w:gridCol w:w="1980"/>
          </w:tblGrid>
        </w:tblGridChange>
      </w:tblGrid>
      <w:tr>
        <w:trPr>
          <w:trHeight w:val="50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TTE2385DC0t00" w:cs="TTE2385DC0t00" w:eastAsia="TTE2385DC0t00" w:hAnsi="TTE2385DC0t00"/>
                <w:b w:val="1"/>
                <w:i w:val="1"/>
                <w:sz w:val="20"/>
                <w:szCs w:val="20"/>
                <w:vertAlign w:val="baseline"/>
                <w:rtl w:val="0"/>
              </w:rPr>
              <w:t xml:space="preserve">Resumen de Reservas Ajustes Salariales</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tc>
      </w:tr>
      <w:tr>
        <w:trPr>
          <w:trHeight w:val="240" w:hRule="atLeast"/>
        </w:trPr>
        <w:tc>
          <w:tcPr>
            <w:gridSpan w:val="2"/>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(en colones) </w:t>
            </w:r>
            <w:r w:rsidDel="00000000" w:rsidR="00000000" w:rsidRPr="00000000">
              <w:rPr>
                <w:rtl w:val="0"/>
              </w:rPr>
            </w:r>
          </w:p>
        </w:tc>
      </w:tr>
      <w:tr>
        <w:trPr>
          <w:trHeight w:val="260" w:hRule="atLeast"/>
        </w:trPr>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 CONCEPTO </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 TOTAL </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Sueldos para cargos fijos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107,940,600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Sueldos Servicios Especiales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1,867,000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Tiempo Extraordinario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1,174,500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Retribución por años servidos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59,381,500</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Restricción al ejercicio liberal de la profesión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17,352,100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Otros incentivos salariales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65,869,900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Aguinaldo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21,497,200</w:t>
            </w:r>
            <w:r w:rsidDel="00000000" w:rsidR="00000000" w:rsidRPr="00000000">
              <w:rPr>
                <w:rtl w:val="0"/>
              </w:rPr>
            </w:r>
          </w:p>
        </w:tc>
      </w:tr>
      <w:tr>
        <w:trPr>
          <w:trHeight w:val="260" w:hRule="atLeast"/>
        </w:trP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Cargas Sociales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59,917,300</w:t>
            </w:r>
            <w:r w:rsidDel="00000000" w:rsidR="00000000" w:rsidRPr="00000000">
              <w:rPr>
                <w:rtl w:val="0"/>
              </w:rPr>
            </w:r>
          </w:p>
        </w:tc>
      </w:tr>
      <w:tr>
        <w:trPr>
          <w:trHeight w:val="260" w:hRule="atLeast"/>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 Total general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b w:val="1"/>
                <w:i w:val="1"/>
                <w:sz w:val="20"/>
                <w:szCs w:val="20"/>
                <w:vertAlign w:val="baseline"/>
                <w:rtl w:val="0"/>
              </w:rPr>
              <w:t xml:space="preserve">335,000,100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412-2011, del 17 de junio de 2011, analiza la propuesta y dispone elevarla al pleno del Consejo Institucional.</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Autorizar la utilización de la Reserva para ajustes salariales, según lo requerido para efectuar el  incremento en los porcentajes indicados en los puntos 4 y 5 de la Resolución de Rectoría RR-419-10 y el efecto producto de la aplicación de la Resolución de Rectoría RR-116-2011.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bl>
      <w:tblPr>
        <w:tblStyle w:val="Table4"/>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VIESA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Sede Regional San Carlos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Prof. Carlos Martínez, Secretario General AFITEC</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TE2385DC0t00"/>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2719, Artículo 8,  del 23 de junio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1146" w:firstLine="786"/>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1131" w:firstLine="771"/>
      </w:pPr>
      <w:rPr>
        <w:vertAlign w:val="baseline"/>
      </w:rPr>
    </w:lvl>
    <w:lvl w:ilvl="1">
      <w:start w:val="1"/>
      <w:numFmt w:val="lowerLetter"/>
      <w:lvlText w:val="%2."/>
      <w:lvlJc w:val="left"/>
      <w:pPr>
        <w:ind w:left="1851" w:firstLine="1491"/>
      </w:pPr>
      <w:rPr>
        <w:vertAlign w:val="baseline"/>
      </w:rPr>
    </w:lvl>
    <w:lvl w:ilvl="2">
      <w:start w:val="1"/>
      <w:numFmt w:val="lowerRoman"/>
      <w:lvlText w:val="%3."/>
      <w:lvlJc w:val="right"/>
      <w:pPr>
        <w:ind w:left="2571" w:firstLine="2391"/>
      </w:pPr>
      <w:rPr>
        <w:vertAlign w:val="baseline"/>
      </w:rPr>
    </w:lvl>
    <w:lvl w:ilvl="3">
      <w:start w:val="1"/>
      <w:numFmt w:val="decimal"/>
      <w:lvlText w:val="%4."/>
      <w:lvlJc w:val="left"/>
      <w:pPr>
        <w:ind w:left="3291" w:firstLine="2931"/>
      </w:pPr>
      <w:rPr>
        <w:vertAlign w:val="baseline"/>
      </w:rPr>
    </w:lvl>
    <w:lvl w:ilvl="4">
      <w:start w:val="1"/>
      <w:numFmt w:val="lowerLetter"/>
      <w:lvlText w:val="%5."/>
      <w:lvlJc w:val="left"/>
      <w:pPr>
        <w:ind w:left="4011" w:firstLine="3651"/>
      </w:pPr>
      <w:rPr>
        <w:vertAlign w:val="baseline"/>
      </w:rPr>
    </w:lvl>
    <w:lvl w:ilvl="5">
      <w:start w:val="1"/>
      <w:numFmt w:val="lowerRoman"/>
      <w:lvlText w:val="%6."/>
      <w:lvlJc w:val="right"/>
      <w:pPr>
        <w:ind w:left="4731" w:firstLine="4551"/>
      </w:pPr>
      <w:rPr>
        <w:vertAlign w:val="baseline"/>
      </w:rPr>
    </w:lvl>
    <w:lvl w:ilvl="6">
      <w:start w:val="1"/>
      <w:numFmt w:val="decimal"/>
      <w:lvlText w:val="%7."/>
      <w:lvlJc w:val="left"/>
      <w:pPr>
        <w:ind w:left="5451" w:firstLine="5091"/>
      </w:pPr>
      <w:rPr>
        <w:vertAlign w:val="baseline"/>
      </w:rPr>
    </w:lvl>
    <w:lvl w:ilvl="7">
      <w:start w:val="1"/>
      <w:numFmt w:val="lowerLetter"/>
      <w:lvlText w:val="%8."/>
      <w:lvlJc w:val="left"/>
      <w:pPr>
        <w:ind w:left="6171" w:firstLine="5811"/>
      </w:pPr>
      <w:rPr>
        <w:vertAlign w:val="baseline"/>
      </w:rPr>
    </w:lvl>
    <w:lvl w:ilvl="8">
      <w:start w:val="1"/>
      <w:numFmt w:val="lowerRoman"/>
      <w:lvlText w:val="%9."/>
      <w:lvlJc w:val="right"/>
      <w:pPr>
        <w:ind w:left="6891" w:firstLine="6711"/>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