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SCI-259-2012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206.0" w:type="dxa"/>
        <w:jc w:val="left"/>
        <w:tblLayout w:type="fixed"/>
        <w:tblLook w:val="0000"/>
      </w:tblPr>
      <w:tblGrid>
        <w:gridCol w:w="1123"/>
        <w:gridCol w:w="11"/>
        <w:gridCol w:w="9072"/>
        <w:tblGridChange w:id="0">
          <w:tblGrid>
            <w:gridCol w:w="1123"/>
            <w:gridCol w:w="11"/>
            <w:gridCol w:w="9072"/>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 Calvo A, Rector</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Comunidad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Celso Vargas, Secretario General de la 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ab/>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29 de marzo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2759, Artículo 14, del 29 de marzo del 2012. “Llamado al respeto a la Comunidad Institucional en la discusión actual sobre el diferendo salarial”</w:t>
            </w: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ind w:left="18" w:righ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78" w:right="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El actual diferendo salarial entre la  Asociación de Funcionarios del Instituto Tecnológico de  Costa Rica y la Rectoría ha generado un intercambio de opiniones en el que se ha manifestado la posición de miembros de la comunidad institucional y que lamentablemente, en algunos casos se han dado manifestaciones poco constructivas que no contribuyen a mantener un ambiente propicio para la búsqueda de una pronta solución.</w:t>
      </w:r>
    </w:p>
    <w:p w:rsidR="00000000" w:rsidDel="00000000" w:rsidP="00000000" w:rsidRDefault="00000000" w:rsidRPr="00000000">
      <w:pPr>
        <w:spacing w:after="0" w:before="0" w:line="240" w:lineRule="auto"/>
        <w:ind w:left="18" w:righ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78" w:right="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Constitución Política de la República señala:</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28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Nadie puede ser inquietado ni perseguido por la manifestación de sus opiniones ni por acto alguno que no infrinja la ley.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Las acciones privadas que no dañen la moral o el orden públicos, o que no perjudiquen a tercero, están fuera de la acción de la ley…</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29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Todos pueden comunicar sus pensamientos de palabra o por escrito, y publicarlos sin previa censura; pero serán responsables de los abusos que cometan en el ejercicio de este derecho, en los casos y del modo que la ley establezca”.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78" w:right="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El Estatuto </w:t>
      </w:r>
      <w:r w:rsidDel="00000000" w:rsidR="00000000" w:rsidRPr="00000000">
        <w:rPr>
          <w:rFonts w:ascii="Arial" w:cs="Arial" w:eastAsia="Arial" w:hAnsi="Arial"/>
          <w:b w:val="0"/>
          <w:color w:val="000000"/>
          <w:sz w:val="24"/>
          <w:szCs w:val="24"/>
          <w:vertAlign w:val="baseline"/>
          <w:rtl w:val="0"/>
        </w:rPr>
        <w:t xml:space="preserve">Orgánico</w:t>
      </w:r>
      <w:r w:rsidDel="00000000" w:rsidR="00000000" w:rsidRPr="00000000">
        <w:rPr>
          <w:rFonts w:ascii="Arial" w:cs="Arial" w:eastAsia="Arial" w:hAnsi="Arial"/>
          <w:b w:val="0"/>
          <w:sz w:val="24"/>
          <w:szCs w:val="24"/>
          <w:vertAlign w:val="baseline"/>
          <w:rtl w:val="0"/>
        </w:rPr>
        <w:t xml:space="preserve"> del Instituto Tecnológico de Costa Rica establece,</w:t>
      </w:r>
    </w:p>
    <w:p w:rsidR="00000000" w:rsidDel="00000000" w:rsidP="00000000" w:rsidRDefault="00000000" w:rsidRPr="00000000">
      <w:pPr>
        <w:spacing w:after="0" w:before="0" w:line="240" w:lineRule="auto"/>
        <w:ind w:left="18" w:righ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3</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1"/>
          <w:sz w:val="22"/>
          <w:szCs w:val="22"/>
          <w:vertAlign w:val="baseline"/>
          <w:rtl w:val="0"/>
        </w:rPr>
        <w:t xml:space="preserve">Para el cumplimiento de sus fines, el Instituto Tecnológico  de  Costa  Rica  se rige por los siguientes principios: </w:t>
      </w:r>
      <w:r w:rsidDel="00000000" w:rsidR="00000000" w:rsidRPr="00000000">
        <w:rPr>
          <w:rtl w:val="0"/>
        </w:rPr>
      </w:r>
    </w:p>
    <w:p w:rsidR="00000000" w:rsidDel="00000000" w:rsidP="00000000" w:rsidRDefault="00000000" w:rsidRPr="00000000">
      <w:pPr>
        <w:keepNext w:val="1"/>
        <w:spacing w:after="60" w:before="240" w:line="240" w:lineRule="auto"/>
        <w:ind w:left="992" w:firstLine="423.9999999999999"/>
        <w:contextualSpacing w:val="0"/>
      </w:pPr>
      <w:r w:rsidDel="00000000" w:rsidR="00000000" w:rsidRPr="00000000">
        <w:rPr>
          <w:rFonts w:ascii="Calibri" w:cs="Calibri" w:eastAsia="Calibri" w:hAnsi="Calibri"/>
          <w:b w:val="1"/>
          <w:i w:val="1"/>
          <w:sz w:val="22"/>
          <w:szCs w:val="22"/>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Times New Roman" w:cs="Times New Roman" w:eastAsia="Times New Roman" w:hAnsi="Times New Roman"/>
          <w:b w:val="0"/>
          <w:i w:val="1"/>
          <w:sz w:val="20"/>
          <w:szCs w:val="20"/>
          <w:vertAlign w:val="baseline"/>
          <w:rtl w:val="0"/>
        </w:rPr>
        <w:t xml:space="preserve">f. </w:t>
      </w:r>
      <w:r w:rsidDel="00000000" w:rsidR="00000000" w:rsidRPr="00000000">
        <w:rPr>
          <w:rFonts w:ascii="Arial" w:cs="Arial" w:eastAsia="Arial" w:hAnsi="Arial"/>
          <w:b w:val="0"/>
          <w:i w:val="1"/>
          <w:sz w:val="22"/>
          <w:szCs w:val="22"/>
          <w:vertAlign w:val="baseline"/>
          <w:rtl w:val="0"/>
        </w:rPr>
        <w:t xml:space="preserve">La libertad de expresión de las ideas filosóficas, científicas, políticas y religiosas de los miembros de la Comunidad del Instituto; dentro de un marco de respeto por las personas.</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Times New Roman" w:cs="Times New Roman" w:eastAsia="Times New Roman" w:hAnsi="Times New Roman"/>
          <w:b w:val="0"/>
          <w:i w:val="1"/>
          <w:sz w:val="20"/>
          <w:szCs w:val="20"/>
          <w:vertAlign w:val="baseline"/>
          <w:rtl w:val="0"/>
        </w:rPr>
        <w:t xml:space="preserve">i. </w:t>
      </w:r>
      <w:r w:rsidDel="00000000" w:rsidR="00000000" w:rsidRPr="00000000">
        <w:rPr>
          <w:rFonts w:ascii="Arial" w:cs="Arial" w:eastAsia="Arial" w:hAnsi="Arial"/>
          <w:b w:val="0"/>
          <w:i w:val="1"/>
          <w:sz w:val="22"/>
          <w:szCs w:val="22"/>
          <w:vertAlign w:val="baseline"/>
          <w:rtl w:val="0"/>
        </w:rPr>
        <w:t xml:space="preserve">La responsabilidad de los individuos y órganos del instituto por las consecuencias de sus acciones y decisiones.</w:t>
      </w:r>
      <w:r w:rsidDel="00000000" w:rsidR="00000000" w:rsidRPr="00000000">
        <w:rPr>
          <w:rtl w:val="0"/>
        </w:rPr>
      </w:r>
    </w:p>
    <w:p w:rsidR="00000000" w:rsidDel="00000000" w:rsidP="00000000" w:rsidRDefault="00000000" w:rsidRPr="00000000">
      <w:pPr>
        <w:ind w:left="708" w:firstLine="708"/>
        <w:contextualSpacing w:val="0"/>
      </w:pP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pPr>
        <w:ind w:left="708" w:firstLine="708"/>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78" w:right="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Los funcionarios tienen derecho de participar o no en la huelga convocada por la AFITEC, así como de respaldar o no las acciones del Rector. Sin embargo, ésta debe realizarse dentro de un ambiente de respeto y tolerancia  a la diversidad de pensamiento que debe existir en la Universidad.</w:t>
      </w:r>
    </w:p>
    <w:p w:rsidR="00000000" w:rsidDel="00000000" w:rsidP="00000000" w:rsidRDefault="00000000" w:rsidRPr="00000000">
      <w:pPr>
        <w:spacing w:after="0" w:before="0" w:line="240" w:lineRule="auto"/>
        <w:ind w:left="360" w:righ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78" w:right="0" w:hanging="360"/>
        <w:contextualSpacing w:val="1"/>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El Consejo Institucional tiene plena claridad que la materia laboral y en especial la </w:t>
      </w:r>
      <w:r w:rsidDel="00000000" w:rsidR="00000000" w:rsidRPr="00000000">
        <w:rPr>
          <w:rFonts w:ascii="Arial" w:cs="Arial" w:eastAsia="Arial" w:hAnsi="Arial"/>
          <w:b w:val="0"/>
          <w:sz w:val="24"/>
          <w:szCs w:val="24"/>
          <w:vertAlign w:val="baseline"/>
          <w:rtl w:val="0"/>
        </w:rPr>
        <w:t xml:space="preserve">negociación</w:t>
      </w:r>
      <w:r w:rsidDel="00000000" w:rsidR="00000000" w:rsidRPr="00000000">
        <w:rPr>
          <w:rFonts w:ascii="Arial" w:cs="Arial" w:eastAsia="Arial" w:hAnsi="Arial"/>
          <w:b w:val="0"/>
          <w:color w:val="000000"/>
          <w:sz w:val="24"/>
          <w:szCs w:val="24"/>
          <w:vertAlign w:val="baseline"/>
          <w:rtl w:val="0"/>
        </w:rPr>
        <w:t xml:space="preserve"> salarial, es propia del Rector y la AFITEC, por lo que no debe pronunciarse al respecto. </w:t>
      </w:r>
    </w:p>
    <w:p w:rsidR="00000000" w:rsidDel="00000000" w:rsidP="00000000" w:rsidRDefault="00000000" w:rsidRPr="00000000">
      <w:pPr>
        <w:spacing w:after="0" w:before="0" w:line="240" w:lineRule="auto"/>
        <w:ind w:left="284" w:right="0" w:hanging="284"/>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36" w:hanging="360"/>
        <w:jc w:val="both"/>
        <w:rPr/>
      </w:pPr>
      <w:r w:rsidDel="00000000" w:rsidR="00000000" w:rsidRPr="00000000">
        <w:rPr>
          <w:rFonts w:ascii="Arial" w:cs="Arial" w:eastAsia="Arial" w:hAnsi="Arial"/>
          <w:vertAlign w:val="baseline"/>
          <w:rtl w:val="0"/>
        </w:rPr>
        <w:t xml:space="preserve">Solicitar a todos los miembros de la comunidad institucional, el respeto a las diferentes opiniones y posiciones de cada persona,  en aras de la armonía institucional y una pronta solución del diferendo.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firmeza en la Sesión Ordinaria No 2761, celebrada el 20 de abril del 2012, con la aprobación del acta de la Sesión Ordinaria 2759, del 29 de marzo del 2012.   </w:t>
      </w:r>
      <w:r w:rsidDel="00000000" w:rsidR="00000000" w:rsidRPr="00000000">
        <w:rPr>
          <w:rFonts w:ascii="Arial" w:cs="Arial" w:eastAsia="Arial" w:hAnsi="Arial"/>
          <w:b w:val="1"/>
          <w:vertAlign w:val="baseline"/>
          <w:rtl w:val="0"/>
        </w:rPr>
        <w:t xml:space="preserve">NO SE NOTIFICÓ</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Cómputo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ind w:left="284" w:right="567" w:firstLine="0"/>
        <w:contextualSpacing w:val="0"/>
        <w:jc w:val="both"/>
      </w:pPr>
      <w:r w:rsidDel="00000000" w:rsidR="00000000" w:rsidRPr="00000000">
        <w:rPr>
          <w:rtl w:val="0"/>
        </w:rPr>
      </w:r>
    </w:p>
    <w:sectPr>
      <w:headerReference r:id="rId5" w:type="default"/>
      <w:headerReference r:id="rId6" w:type="first"/>
      <w:pgSz w:h="15840" w:w="12240"/>
      <w:pgMar w:bottom="1134"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956310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2759, Artículo 14,  del 29 de marzo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68" w:firstLine="708"/>
      </w:pPr>
      <w:rPr>
        <w:rFonts w:ascii="Arial" w:cs="Arial" w:eastAsia="Arial" w:hAnsi="Arial"/>
        <w:b w:val="1"/>
        <w:i w:val="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