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SCI-796-2012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 Julio C. Calvo A, Rector</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MAE. Marcel Hernández, Vicerrector de Administración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Ing. Alfredo  Villarreal, Director Centro de  Cómputo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MBA. M</w:t>
            </w:r>
            <w:r w:rsidDel="00000000" w:rsidR="00000000" w:rsidRPr="00000000">
              <w:rPr>
                <w:rFonts w:ascii="Arial" w:cs="Arial" w:eastAsia="Arial" w:hAnsi="Arial"/>
                <w:sz w:val="22"/>
                <w:szCs w:val="22"/>
                <w:vertAlign w:val="superscript"/>
                <w:rtl w:val="0"/>
              </w:rPr>
              <w:t xml:space="preserve">a </w:t>
            </w:r>
            <w:r w:rsidDel="00000000" w:rsidR="00000000" w:rsidRPr="00000000">
              <w:rPr>
                <w:rFonts w:ascii="Arial" w:cs="Arial" w:eastAsia="Arial" w:hAnsi="Arial"/>
                <w:sz w:val="22"/>
                <w:szCs w:val="22"/>
                <w:vertAlign w:val="baseline"/>
                <w:rtl w:val="0"/>
              </w:rPr>
              <w:t xml:space="preserve">Auxiliadora Navarro, Directora Depto. Financiero Contable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Lic. Walter Sequeira, del Departamento de Aprovisionamiento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03 de octubre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2786 Artículo 11, del 03 de octubre del 2012.  Licitación Pública No. 2011-0000031-APITCR “Adquisición de Equipo de Cómputo”</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Consejo Institucional acordó en la Sesión Ordinaria No. 2765, Artículo 10, del 10 de mayo de 2012.  Licitación Pública No. 2011LN-000003-APITICR “Adquisición de Equipo de Cómputo”, en el inciso a, lo siguiente:</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134" w:hanging="425"/>
        <w:contextualSpacing w:val="0"/>
        <w:jc w:val="both"/>
      </w:pP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b w:val="0"/>
          <w:i w:val="1"/>
          <w:sz w:val="22"/>
          <w:szCs w:val="22"/>
          <w:vertAlign w:val="baseline"/>
          <w:rtl w:val="0"/>
        </w:rPr>
        <w:t xml:space="preserve">a.  Adjudicar la Licitación Pública No. 2011LN-000003-APITCR “Adquisición de Equipo de Cómputo”, a la Empresa Central de Servicios PC, S.A., cédula jurídica No. 3-101-096527, por un monto de $382.459,75 (trescientos ochenta y dos mil cuatrocientos cincuenta y nueve dólares con setenta y cinco centavos).</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Secretaría del Consejo Institucional, recibe oficio AP-1055-2012, del 16 de agosto de 2012, suscrito por el Lic. Walter Sequeira Fallas, Director del Departamento de Aprovisionamiento, dirigido al Ing. Alfredo Villarreal, Director del Centro de Cómputo, con copia a la B.Q. Grettel Castro Portuguez, Coordinadora de la Comisión de Planificación y Administración, en el cual indica lo siguiente:</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Arial" w:cs="Arial" w:eastAsia="Arial" w:hAnsi="Arial"/>
          <w:b w:val="0"/>
          <w:i w:val="1"/>
          <w:sz w:val="22"/>
          <w:szCs w:val="22"/>
          <w:vertAlign w:val="baseline"/>
          <w:rtl w:val="0"/>
        </w:rPr>
        <w:t xml:space="preserve">“En atención a la Resolución R-DCA-409-2012 emitida por la Contraloría General de la República, (enviada a su correo eléctrico el día 13 de agosto) y con la finalidad de atender lo indicado por dicho Ente Contralor, adjunto copia de dicho documento.</w:t>
      </w: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Arial" w:cs="Arial" w:eastAsia="Arial" w:hAnsi="Arial"/>
          <w:b w:val="0"/>
          <w:i w:val="1"/>
          <w:sz w:val="22"/>
          <w:szCs w:val="22"/>
          <w:vertAlign w:val="baseline"/>
          <w:rtl w:val="0"/>
        </w:rPr>
        <w:t xml:space="preserve">Es importante indicar que la Contraloría General de la República, anuló el acto de adjudicación, debiendo analizar por parte del Ente Técnico las facturas referenciadas y la cantidad de la Base Instalada aportada en el Recurso de Apelación por parte de la Empresa Central de Servicio P.C., esto con la finalidad de readjudicar, tal y como lo indica el punto segundo de la Resolución.</w:t>
      </w: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Arial" w:cs="Arial" w:eastAsia="Arial" w:hAnsi="Arial"/>
          <w:b w:val="0"/>
          <w:i w:val="1"/>
          <w:sz w:val="22"/>
          <w:szCs w:val="22"/>
          <w:vertAlign w:val="baseline"/>
          <w:rtl w:val="0"/>
        </w:rPr>
        <w:t xml:space="preserve">Para realizar el análisis y la Readjudicación la Administración, cuenta con un mes a partir del recibido de dicha Resolución, según lo establecido en el Artículo 184 del Reglamento de la Ley de Contratación Administrativa, por lo anterior respetuosamente, le solicito realizar dicho análisis en un plazo máximo de 4 días hábiles a partir del recibido de este documento.”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Secretaría del Consejo Institucional, recibe oficio CC-379-2012 del 20 de agosto de 2012, suscrito por el Ing. Alfredo Villarreal, Director del Centro de Cómputo, dirigido al Lic. Walter Sequeira Fallas, Director del Departamento de Aprovisionamiento, con copia a la B.Q. Grettel Castro Portuguez, Coordinadora de la Comisión de Planificación y Administración, en el cual solicita una prórroga de al menos 22 días para realizar el análisis de las facturas referenciadas y la cantidad de la Base Instalada aportada en el Recurso de Apelación, por parte de la Empresa Central de Servicios PC S.A., dado que deben verificar a mano más de 28 000 documentos.</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Comisión de Planificación y Administración en reunión No. 480-2012, del 30 de agosto de 2012, conoce los oficios citados en los considerandos 2 y 3, por lo que dispone dar respuesta al Lic. Sequeira Fallas.</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Con fecha 31 de agosto de 2012, se envía oficio SCI-688-2012, suscrito por la B.Q. Grettel Castro Portuguez, Coordinadora de la Comisión de Planificación y Administración, dirigido al Lic. Walter Sequeira Fallas, Director del Departamento de Aprovisionamiento, en el cual se le solicita informar a la Comisión de Planificación y Administración, el resultado de la nueva evaluación y su justificación, según lo estipulado por la Contraloría General de la República en la Resolución R-DCA-409-2012, respecto de la adjudicación de la Licitación Pública No. 2011LN-000003-APITCR “Adquisición de Equipo de Cómputo”.</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Secretaría del Consejo Institucional, recibe oficio AP-1239-2012, del 18 de setiembre de 2012, suscrito por el Lic. Walter Sequeira Fallas, Director del Departamento de Aprovisionamiento, dirigido al MAE. Marcel Hernández Mora, Vicerrector de Administración, con copia a la B.Q. Grettel Castro Portuguez, Coordinadora de la Comisión de Planificación y Administración, en el que adjunta el informe de readjudicación y el expediente original de la Licitación Pública No 2011LN-000003-APITCR “Adquisición de equipo de cómputo” para el análisis y visto bueno del Vicerrector de Administración y de considerarlo oportuno elevarlo al Consejo Institucional, además que se presentaron tres ofertas, a saber:</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1287" w:hanging="36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Central de Servicios PC, S.A.</w:t>
      </w:r>
    </w:p>
    <w:p w:rsidR="00000000" w:rsidDel="00000000" w:rsidP="00000000" w:rsidRDefault="00000000" w:rsidRPr="00000000">
      <w:pPr>
        <w:numPr>
          <w:ilvl w:val="0"/>
          <w:numId w:val="6"/>
        </w:numPr>
        <w:spacing w:after="0" w:before="0" w:line="240" w:lineRule="auto"/>
        <w:ind w:left="1287" w:hanging="36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Productive Business Solutions, S.A.</w:t>
      </w:r>
    </w:p>
    <w:p w:rsidR="00000000" w:rsidDel="00000000" w:rsidP="00000000" w:rsidRDefault="00000000" w:rsidRPr="00000000">
      <w:pPr>
        <w:numPr>
          <w:ilvl w:val="0"/>
          <w:numId w:val="6"/>
        </w:numPr>
        <w:spacing w:after="0" w:before="0" w:line="240" w:lineRule="auto"/>
        <w:ind w:left="1287" w:hanging="36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Componentes El Orbe S.A. </w:t>
      </w:r>
    </w:p>
    <w:p w:rsidR="00000000" w:rsidDel="00000000" w:rsidP="00000000" w:rsidRDefault="00000000" w:rsidRPr="00000000">
      <w:pPr>
        <w:spacing w:after="0" w:before="0" w:line="240" w:lineRule="auto"/>
        <w:ind w:left="128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La oferta de la empresa Central de Servicios PC, S.A., es la que obtiene el mayor puntaje, además de ser la económicamente más favorable para la Institución, por lo que se recomienda su adjudicación.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Secretaría del Consejo Institucional, recibe oficio AP-1250-2012 del 18 de setiembre de 2012, suscrito por el Lic. Walter Sequeira Fallas, Director del Departamento de Aprovisionamiento, dirigido a la B.Q. Grettel Castro Portuguez, Coordinadora de la Comisión de Planificación y Administración, en el cual indica lo siguiente:</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tabs>
          <w:tab w:val="center" w:pos="4986"/>
        </w:tabs>
        <w:ind w:left="993" w:firstLine="0"/>
        <w:contextualSpacing w:val="0"/>
        <w:jc w:val="both"/>
      </w:pP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En atención a lo indicado por la Contraloría General de la Republica en la Resolución R-DCA-409-2012 y de conformidad con el artículo 184 del Reglamento a la Ley de Contratación Administrativa el cual indica que </w:t>
      </w:r>
      <w:r w:rsidDel="00000000" w:rsidR="00000000" w:rsidRPr="00000000">
        <w:rPr>
          <w:rFonts w:ascii="Arial" w:cs="Arial" w:eastAsia="Arial" w:hAnsi="Arial"/>
          <w:b w:val="1"/>
          <w:i w:val="1"/>
          <w:sz w:val="22"/>
          <w:szCs w:val="22"/>
          <w:vertAlign w:val="baseline"/>
          <w:rtl w:val="0"/>
        </w:rPr>
        <w:t xml:space="preserve">“…El nuevo acto deberá dictarse dentro del mes contado a partir del día siguiente al de la notificación de la resolución…”</w:t>
      </w:r>
      <w:r w:rsidDel="00000000" w:rsidR="00000000" w:rsidRPr="00000000">
        <w:rPr>
          <w:rFonts w:ascii="Arial" w:cs="Arial" w:eastAsia="Arial" w:hAnsi="Arial"/>
          <w:i w:val="1"/>
          <w:sz w:val="22"/>
          <w:szCs w:val="22"/>
          <w:vertAlign w:val="baseline"/>
          <w:rtl w:val="0"/>
        </w:rPr>
        <w:t xml:space="preserve">, dicho plazo se prorrogó mediante la Resolución AP-010-2012 (ver folio 3571 del expediente administrativo), por tanto la Administración tiene hasta el 09 de octubre del año en curso para dictar el nuevo acto de adjudicación.</w:t>
      </w:r>
      <w:r w:rsidDel="00000000" w:rsidR="00000000" w:rsidRPr="00000000">
        <w:rPr>
          <w:rtl w:val="0"/>
        </w:rPr>
      </w:r>
    </w:p>
    <w:p w:rsidR="00000000" w:rsidDel="00000000" w:rsidP="00000000" w:rsidRDefault="00000000" w:rsidRPr="00000000">
      <w:pPr>
        <w:tabs>
          <w:tab w:val="left" w:pos="0"/>
          <w:tab w:val="center" w:pos="4986"/>
        </w:tabs>
        <w:ind w:left="993" w:firstLine="0"/>
        <w:contextualSpacing w:val="0"/>
        <w:jc w:val="both"/>
      </w:pPr>
      <w:r w:rsidDel="00000000" w:rsidR="00000000" w:rsidRPr="00000000">
        <w:rPr>
          <w:rtl w:val="0"/>
        </w:rPr>
      </w:r>
    </w:p>
    <w:p w:rsidR="00000000" w:rsidDel="00000000" w:rsidP="00000000" w:rsidRDefault="00000000" w:rsidRPr="00000000">
      <w:pPr>
        <w:tabs>
          <w:tab w:val="center" w:pos="4986"/>
        </w:tabs>
        <w:ind w:left="993" w:firstLine="0"/>
        <w:contextualSpacing w:val="0"/>
        <w:jc w:val="both"/>
      </w:pPr>
      <w:r w:rsidDel="00000000" w:rsidR="00000000" w:rsidRPr="00000000">
        <w:rPr>
          <w:rFonts w:ascii="Arial" w:cs="Arial" w:eastAsia="Arial" w:hAnsi="Arial"/>
          <w:i w:val="1"/>
          <w:sz w:val="22"/>
          <w:szCs w:val="22"/>
          <w:vertAlign w:val="baseline"/>
          <w:rtl w:val="0"/>
        </w:rPr>
        <w:t xml:space="preserve">Para ello se adjuntan como complemento al informe de la Licitación Pública Nº 2011LN-000003-APITCR “Adquisición de Equipo de Computo” los siguientes documentos:</w:t>
      </w:r>
      <w:r w:rsidDel="00000000" w:rsidR="00000000" w:rsidRPr="00000000">
        <w:rPr>
          <w:rtl w:val="0"/>
        </w:rPr>
      </w:r>
    </w:p>
    <w:p w:rsidR="00000000" w:rsidDel="00000000" w:rsidP="00000000" w:rsidRDefault="00000000" w:rsidRPr="00000000">
      <w:pPr>
        <w:tabs>
          <w:tab w:val="left" w:pos="0"/>
          <w:tab w:val="center" w:pos="4986"/>
        </w:tabs>
        <w:ind w:left="993"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360" w:lineRule="auto"/>
        <w:ind w:left="1276" w:hanging="283"/>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Cartel de Licitación</w:t>
      </w:r>
      <w:r w:rsidDel="00000000" w:rsidR="00000000" w:rsidRPr="00000000">
        <w:rPr>
          <w:rtl w:val="0"/>
        </w:rPr>
      </w:r>
    </w:p>
    <w:p w:rsidR="00000000" w:rsidDel="00000000" w:rsidP="00000000" w:rsidRDefault="00000000" w:rsidRPr="00000000">
      <w:pPr>
        <w:numPr>
          <w:ilvl w:val="0"/>
          <w:numId w:val="5"/>
        </w:numPr>
        <w:spacing w:after="0" w:before="0" w:line="360" w:lineRule="auto"/>
        <w:ind w:left="1276" w:hanging="283"/>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Informe técnico </w:t>
      </w:r>
      <w:r w:rsidDel="00000000" w:rsidR="00000000" w:rsidRPr="00000000">
        <w:rPr>
          <w:rtl w:val="0"/>
        </w:rPr>
      </w:r>
    </w:p>
    <w:p w:rsidR="00000000" w:rsidDel="00000000" w:rsidP="00000000" w:rsidRDefault="00000000" w:rsidRPr="00000000">
      <w:pPr>
        <w:numPr>
          <w:ilvl w:val="0"/>
          <w:numId w:val="5"/>
        </w:numPr>
        <w:spacing w:before="0" w:line="480" w:lineRule="auto"/>
        <w:ind w:left="1276" w:hanging="283"/>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Informe Final”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Secretaría del Consejo Institucional, recibe oficio VAD-398-2012, del 20 de setiembre de 2012, suscrito por el MAE. Marcel Hernández Mora, Vicerrector de Administración, dirigido a la B.Q. Grettel Castro Portuguez, Coordinadora de la Comisión de Planificación y Administración, en el cual adjunta el Informe de Adjudicación y Expediente de la Licitación Pública No. 2012LN-000003-APITCR </w:t>
      </w:r>
      <w:r w:rsidDel="00000000" w:rsidR="00000000" w:rsidRPr="00000000">
        <w:rPr>
          <w:rFonts w:ascii="Arial" w:cs="Arial" w:eastAsia="Arial" w:hAnsi="Arial"/>
          <w:b w:val="0"/>
          <w:i w:val="1"/>
          <w:sz w:val="24"/>
          <w:szCs w:val="24"/>
          <w:vertAlign w:val="baseline"/>
          <w:rtl w:val="0"/>
        </w:rPr>
        <w:t xml:space="preserve">(sic)</w:t>
      </w:r>
      <w:r w:rsidDel="00000000" w:rsidR="00000000" w:rsidRPr="00000000">
        <w:rPr>
          <w:rFonts w:ascii="Arial" w:cs="Arial" w:eastAsia="Arial" w:hAnsi="Arial"/>
          <w:b w:val="0"/>
          <w:sz w:val="24"/>
          <w:szCs w:val="24"/>
          <w:vertAlign w:val="baseline"/>
          <w:rtl w:val="0"/>
        </w:rPr>
        <w:t xml:space="preserve"> “Adquisición de Equipo de Cómputo”, el cual cuenta con el visto bueno de la Asesoría Legal, según oficio AL-535-2012.</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Arial" w:cs="Arial" w:eastAsia="Arial" w:hAnsi="Arial"/>
          <w:b w:val="0"/>
          <w:sz w:val="24"/>
          <w:szCs w:val="24"/>
          <w:vertAlign w:val="baseline"/>
          <w:rtl w:val="0"/>
        </w:rPr>
        <w:t xml:space="preserve">El resumen de las características de las ofertas presentadas en la licitación, se transcribe a continuación:</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“Cuadro Nº 1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Resumen, Condiciones y Aspectos Legales</w:t>
      </w:r>
      <w:r w:rsidDel="00000000" w:rsidR="00000000" w:rsidRPr="00000000">
        <w:rPr>
          <w:rtl w:val="0"/>
        </w:rPr>
      </w:r>
    </w:p>
    <w:tbl>
      <w:tblPr>
        <w:tblStyle w:val="Table2"/>
        <w:bidi w:val="0"/>
        <w:tblW w:w="9908.0" w:type="dxa"/>
        <w:jc w:val="center"/>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07"/>
        <w:gridCol w:w="927"/>
        <w:gridCol w:w="1573"/>
        <w:gridCol w:w="998"/>
        <w:gridCol w:w="1176"/>
        <w:gridCol w:w="998"/>
        <w:gridCol w:w="1232"/>
        <w:gridCol w:w="998"/>
        <w:gridCol w:w="1299"/>
        <w:tblGridChange w:id="0">
          <w:tblGrid>
            <w:gridCol w:w="707"/>
            <w:gridCol w:w="927"/>
            <w:gridCol w:w="1573"/>
            <w:gridCol w:w="998"/>
            <w:gridCol w:w="1176"/>
            <w:gridCol w:w="998"/>
            <w:gridCol w:w="1232"/>
            <w:gridCol w:w="998"/>
            <w:gridCol w:w="1299"/>
          </w:tblGrid>
        </w:tblGridChange>
      </w:tblGrid>
      <w:tr>
        <w:trPr>
          <w:trHeight w:val="300" w:hRule="atLeast"/>
        </w:trPr>
        <w:tc>
          <w:tcPr>
            <w:gridSpan w:val="3"/>
            <w:shd w:fill="e6e6e6"/>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Nombre de oferente</w:t>
            </w:r>
            <w:r w:rsidDel="00000000" w:rsidR="00000000" w:rsidRPr="00000000">
              <w:rPr>
                <w:rtl w:val="0"/>
              </w:rPr>
            </w:r>
          </w:p>
        </w:tc>
        <w:tc>
          <w:tcPr>
            <w:gridSpan w:val="2"/>
            <w:shd w:fill="e6e6e6"/>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Central de Servicios PC, S.A.</w:t>
            </w:r>
            <w:r w:rsidDel="00000000" w:rsidR="00000000" w:rsidRPr="00000000">
              <w:rPr>
                <w:rtl w:val="0"/>
              </w:rPr>
            </w:r>
          </w:p>
        </w:tc>
        <w:tc>
          <w:tcPr>
            <w:gridSpan w:val="2"/>
            <w:shd w:fill="e6e6e6"/>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Productive Business Solutions (Costa Rica), S.A.</w:t>
            </w:r>
            <w:r w:rsidDel="00000000" w:rsidR="00000000" w:rsidRPr="00000000">
              <w:rPr>
                <w:rtl w:val="0"/>
              </w:rPr>
            </w:r>
          </w:p>
        </w:tc>
        <w:tc>
          <w:tcPr>
            <w:gridSpan w:val="2"/>
            <w:shd w:fill="e6e6e6"/>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Componentes El Orbe, S.A.</w:t>
            </w:r>
            <w:r w:rsidDel="00000000" w:rsidR="00000000" w:rsidRPr="00000000">
              <w:rPr>
                <w:rtl w:val="0"/>
              </w:rPr>
            </w:r>
          </w:p>
        </w:tc>
      </w:tr>
      <w:tr>
        <w:trPr>
          <w:trHeight w:val="24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Cédula jurídica</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3-101-096527</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3-101-009515-19</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3-101-111502</w:t>
            </w:r>
            <w:r w:rsidDel="00000000" w:rsidR="00000000" w:rsidRPr="00000000">
              <w:rPr>
                <w:rtl w:val="0"/>
              </w:rPr>
            </w:r>
          </w:p>
        </w:tc>
      </w:tr>
      <w:tr>
        <w:trPr>
          <w:trHeight w:val="2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Vigencia de la oferta</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60 días hábiles</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60 días hábiles</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60 días hábiles</w:t>
            </w:r>
            <w:r w:rsidDel="00000000" w:rsidR="00000000" w:rsidRPr="00000000">
              <w:rPr>
                <w:rtl w:val="0"/>
              </w:rPr>
            </w:r>
          </w:p>
        </w:tc>
      </w:tr>
      <w:tr>
        <w:trPr>
          <w:trHeight w:val="3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Garantía del Equipo</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3 años</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No Indica </w:t>
            </w:r>
            <w:r w:rsidDel="00000000" w:rsidR="00000000" w:rsidRPr="00000000">
              <w:rPr>
                <w:rFonts w:ascii="Arial" w:cs="Arial" w:eastAsia="Arial" w:hAnsi="Arial"/>
                <w:b w:val="1"/>
                <w:i w:val="1"/>
                <w:vertAlign w:val="baseline"/>
                <w:rtl w:val="0"/>
              </w:rPr>
              <w:t xml:space="preserve">*</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3 años</w:t>
            </w:r>
            <w:r w:rsidDel="00000000" w:rsidR="00000000" w:rsidRPr="00000000">
              <w:rPr>
                <w:rtl w:val="0"/>
              </w:rPr>
            </w:r>
          </w:p>
        </w:tc>
      </w:tr>
      <w:tr>
        <w:trPr>
          <w:trHeight w:val="22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Tiempo de Entrega</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30 días hábiles</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22 días hábiles</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45 días hábiles</w:t>
            </w:r>
            <w:r w:rsidDel="00000000" w:rsidR="00000000" w:rsidRPr="00000000">
              <w:rPr>
                <w:rtl w:val="0"/>
              </w:rPr>
            </w:r>
          </w:p>
        </w:tc>
      </w:tr>
      <w:tr>
        <w:trPr>
          <w:trHeight w:val="22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Distribuidor Autorizado </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SI</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SI</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SI</w:t>
            </w:r>
            <w:r w:rsidDel="00000000" w:rsidR="00000000" w:rsidRPr="00000000">
              <w:rPr>
                <w:rtl w:val="0"/>
              </w:rPr>
            </w:r>
          </w:p>
        </w:tc>
      </w:tr>
      <w:tr>
        <w:trPr>
          <w:trHeight w:val="22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Taller de Servicio Autorizado</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SI</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SI</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SI</w:t>
            </w:r>
            <w:r w:rsidDel="00000000" w:rsidR="00000000" w:rsidRPr="00000000">
              <w:rPr>
                <w:rtl w:val="0"/>
              </w:rPr>
            </w:r>
          </w:p>
        </w:tc>
      </w:tr>
      <w:tr>
        <w:trPr>
          <w:trHeight w:val="34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Línea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Cantidad</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Descripción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Precio Unitario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Precio Total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Precio Unitario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Precio Total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Precio Unitario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Precio Total</w:t>
            </w:r>
            <w:r w:rsidDel="00000000" w:rsidR="00000000" w:rsidRPr="00000000">
              <w:rPr>
                <w:rtl w:val="0"/>
              </w:rPr>
            </w:r>
          </w:p>
        </w:tc>
      </w:tr>
      <w:tr>
        <w:trPr>
          <w:trHeight w:val="34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1</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197</w:t>
            </w:r>
            <w:r w:rsidDel="00000000" w:rsidR="00000000" w:rsidRPr="00000000">
              <w:rPr>
                <w:rtl w:val="0"/>
              </w:rPr>
            </w:r>
          </w:p>
        </w:tc>
        <w:tc>
          <w:tcPr>
            <w:vMerge w:val="restart"/>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Computadora para Laboratorio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$1,004.65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$197,916.05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$1,117.43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$220,132.80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$1,278.76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$251,915.72</w:t>
            </w:r>
            <w:r w:rsidDel="00000000" w:rsidR="00000000" w:rsidRPr="00000000">
              <w:rPr>
                <w:rtl w:val="0"/>
              </w:rPr>
            </w:r>
          </w:p>
        </w:tc>
      </w:tr>
      <w:tr>
        <w:trPr>
          <w:trHeight w:val="12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Marca DELL, Modelo Optiplex 790 USFF</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Marca Hewlett Packard, Modelo 8200 Elite USDT PC</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Marca Hewlett Packard, Modelo USDT 8200</w:t>
            </w:r>
            <w:r w:rsidDel="00000000" w:rsidR="00000000" w:rsidRPr="00000000">
              <w:rPr>
                <w:rtl w:val="0"/>
              </w:rPr>
            </w:r>
          </w:p>
        </w:tc>
      </w:tr>
      <w:tr>
        <w:trPr>
          <w:trHeight w:val="34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2</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122</w:t>
            </w:r>
            <w:r w:rsidDel="00000000" w:rsidR="00000000" w:rsidRPr="00000000">
              <w:rPr>
                <w:rtl w:val="0"/>
              </w:rPr>
            </w:r>
          </w:p>
        </w:tc>
        <w:tc>
          <w:tcPr>
            <w:vMerge w:val="restart"/>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Computadora de Escritorio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$899.09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$109,688.98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$976.03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$119,075.42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$951.96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$116,139.12</w:t>
            </w: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Marca DELL, Modelo Optiplex 790 Desktop</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Marca Hewlett Packard, Modelo 6200 Pro SFF PC</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Marca Hewlett Packard, Modelo SFF 6200</w:t>
            </w:r>
            <w:r w:rsidDel="00000000" w:rsidR="00000000" w:rsidRPr="00000000">
              <w:rPr>
                <w:rtl w:val="0"/>
              </w:rPr>
            </w:r>
          </w:p>
        </w:tc>
      </w:tr>
      <w:tr>
        <w:trPr>
          <w:trHeight w:val="34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3</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58</w:t>
            </w:r>
            <w:r w:rsidDel="00000000" w:rsidR="00000000" w:rsidRPr="00000000">
              <w:rPr>
                <w:rtl w:val="0"/>
              </w:rPr>
            </w:r>
          </w:p>
        </w:tc>
        <w:tc>
          <w:tcPr>
            <w:vMerge w:val="restart"/>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Computadora Portátil</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$1,209.85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$70,171.30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$1,323.37</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$76,755.28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$1,278.76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$74,168.08</w:t>
            </w: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Marca DELL, Modelo Latitude E6420</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Marca Hewlett Packard, Modelo Probook 6460b</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Marca Hewlett Packard, Modelo Probook 6460b</w:t>
            </w:r>
            <w:r w:rsidDel="00000000" w:rsidR="00000000" w:rsidRPr="00000000">
              <w:rPr>
                <w:rtl w:val="0"/>
              </w:rPr>
            </w:r>
          </w:p>
        </w:tc>
      </w:tr>
      <w:tr>
        <w:trPr>
          <w:trHeight w:val="34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4</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7</w:t>
            </w:r>
            <w:r w:rsidDel="00000000" w:rsidR="00000000" w:rsidRPr="00000000">
              <w:rPr>
                <w:rtl w:val="0"/>
              </w:rPr>
            </w:r>
          </w:p>
        </w:tc>
        <w:tc>
          <w:tcPr>
            <w:vMerge w:val="restart"/>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Computadora Netbook</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$669.06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$4,683.42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$523.83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$3,666.93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$707.34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$4,951.38</w:t>
            </w: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Marca DELL, Modelo Latitude E2120</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Marca Hewlett Packard, Modelo Mini 1103 N455</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Marca Hewlett Packard, Modelo Mini 5103</w:t>
            </w:r>
            <w:r w:rsidDel="00000000" w:rsidR="00000000" w:rsidRPr="00000000">
              <w:rPr>
                <w:rtl w:val="0"/>
              </w:rPr>
            </w:r>
          </w:p>
        </w:tc>
      </w:tr>
      <w:tr>
        <w:trPr>
          <w:trHeight w:val="34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Total </w:t>
            </w:r>
            <w:r w:rsidDel="00000000" w:rsidR="00000000" w:rsidRPr="00000000">
              <w:rPr>
                <w:rtl w:val="0"/>
              </w:rPr>
            </w:r>
          </w:p>
        </w:tc>
        <w:tc>
          <w:tcPr>
            <w:gridSpan w:val="2"/>
            <w:vAlign w:val="center"/>
          </w:tcPr>
          <w:p w:rsidR="00000000" w:rsidDel="00000000" w:rsidP="00000000" w:rsidRDefault="00000000" w:rsidRPr="00000000">
            <w:pPr>
              <w:ind w:right="7"/>
              <w:contextualSpacing w:val="0"/>
              <w:jc w:val="center"/>
            </w:pPr>
            <w:r w:rsidDel="00000000" w:rsidR="00000000" w:rsidRPr="00000000">
              <w:rPr>
                <w:rFonts w:ascii="Arial" w:cs="Arial" w:eastAsia="Arial" w:hAnsi="Arial"/>
                <w:b w:val="1"/>
                <w:i w:val="1"/>
                <w:sz w:val="18"/>
                <w:szCs w:val="18"/>
                <w:vertAlign w:val="baseline"/>
                <w:rtl w:val="0"/>
              </w:rPr>
              <w:t xml:space="preserve">$382,459.75 </w:t>
            </w:r>
            <w:r w:rsidDel="00000000" w:rsidR="00000000" w:rsidRPr="00000000">
              <w:rPr>
                <w:rtl w:val="0"/>
              </w:rPr>
            </w:r>
          </w:p>
        </w:tc>
        <w:tc>
          <w:tcPr>
            <w:gridSpan w:val="2"/>
            <w:vAlign w:val="center"/>
          </w:tcPr>
          <w:p w:rsidR="00000000" w:rsidDel="00000000" w:rsidP="00000000" w:rsidRDefault="00000000" w:rsidRPr="00000000">
            <w:pPr>
              <w:ind w:right="7"/>
              <w:contextualSpacing w:val="0"/>
              <w:jc w:val="center"/>
            </w:pPr>
            <w:r w:rsidDel="00000000" w:rsidR="00000000" w:rsidRPr="00000000">
              <w:rPr>
                <w:rFonts w:ascii="Arial" w:cs="Arial" w:eastAsia="Arial" w:hAnsi="Arial"/>
                <w:b w:val="1"/>
                <w:i w:val="1"/>
                <w:sz w:val="18"/>
                <w:szCs w:val="18"/>
                <w:vertAlign w:val="baseline"/>
                <w:rtl w:val="0"/>
              </w:rPr>
              <w:t xml:space="preserve">$419,630.42</w:t>
            </w:r>
            <w:r w:rsidDel="00000000" w:rsidR="00000000" w:rsidRPr="00000000">
              <w:rPr>
                <w:rtl w:val="0"/>
              </w:rPr>
            </w:r>
          </w:p>
        </w:tc>
        <w:tc>
          <w:tcPr>
            <w:gridSpan w:val="2"/>
            <w:vAlign w:val="center"/>
          </w:tcPr>
          <w:p w:rsidR="00000000" w:rsidDel="00000000" w:rsidP="00000000" w:rsidRDefault="00000000" w:rsidRPr="00000000">
            <w:pPr>
              <w:ind w:right="7"/>
              <w:contextualSpacing w:val="0"/>
              <w:jc w:val="center"/>
            </w:pPr>
            <w:r w:rsidDel="00000000" w:rsidR="00000000" w:rsidRPr="00000000">
              <w:rPr>
                <w:rFonts w:ascii="Arial" w:cs="Arial" w:eastAsia="Arial" w:hAnsi="Arial"/>
                <w:b w:val="1"/>
                <w:i w:val="1"/>
                <w:sz w:val="18"/>
                <w:szCs w:val="18"/>
                <w:vertAlign w:val="baseline"/>
                <w:rtl w:val="0"/>
              </w:rPr>
              <w:t xml:space="preserve">$447,174.30</w:t>
            </w:r>
            <w:r w:rsidDel="00000000" w:rsidR="00000000" w:rsidRPr="00000000">
              <w:rPr>
                <w:rtl w:val="0"/>
              </w:rPr>
            </w:r>
          </w:p>
        </w:tc>
      </w:tr>
      <w:tr>
        <w:trPr>
          <w:trHeight w:val="1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Monto de garantía de participación</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8"/>
                <w:szCs w:val="18"/>
                <w:vertAlign w:val="baseline"/>
                <w:rtl w:val="0"/>
              </w:rPr>
              <w:t xml:space="preserve">$21,500.00</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8"/>
                <w:szCs w:val="18"/>
                <w:vertAlign w:val="baseline"/>
                <w:rtl w:val="0"/>
              </w:rPr>
              <w:t xml:space="preserve">$25,000.00</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8"/>
                <w:szCs w:val="18"/>
                <w:vertAlign w:val="baseline"/>
                <w:rtl w:val="0"/>
              </w:rPr>
              <w:t xml:space="preserve">$25,000.00</w:t>
            </w:r>
            <w:r w:rsidDel="00000000" w:rsidR="00000000" w:rsidRPr="00000000">
              <w:rPr>
                <w:rtl w:val="0"/>
              </w:rPr>
            </w:r>
          </w:p>
        </w:tc>
      </w:tr>
      <w:tr>
        <w:trPr>
          <w:trHeight w:val="1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Vencimiento de Garantía de Participación </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20 de julio de 2012</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31 de agosto de 2012</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30 de julio de 2012</w:t>
            </w:r>
            <w:r w:rsidDel="00000000" w:rsidR="00000000" w:rsidRPr="00000000">
              <w:rPr>
                <w:rtl w:val="0"/>
              </w:rPr>
            </w:r>
          </w:p>
        </w:tc>
      </w:tr>
      <w:tr>
        <w:trPr>
          <w:trHeight w:val="1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Timbres</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SI</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SI</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SI</w:t>
            </w:r>
            <w:r w:rsidDel="00000000" w:rsidR="00000000" w:rsidRPr="00000000">
              <w:rPr>
                <w:rtl w:val="0"/>
              </w:rPr>
            </w:r>
          </w:p>
        </w:tc>
      </w:tr>
      <w:tr>
        <w:trPr>
          <w:trHeight w:val="1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Declaración Jurada artículos 22 y 22 bis</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SI</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SI</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SI</w:t>
            </w:r>
            <w:r w:rsidDel="00000000" w:rsidR="00000000" w:rsidRPr="00000000">
              <w:rPr>
                <w:rtl w:val="0"/>
              </w:rPr>
            </w:r>
          </w:p>
        </w:tc>
      </w:tr>
      <w:tr>
        <w:trPr>
          <w:trHeight w:val="1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Declaración Jurada artículo 74 de la C.C.S.S</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SI</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SI</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SI</w:t>
            </w:r>
            <w:r w:rsidDel="00000000" w:rsidR="00000000" w:rsidRPr="00000000">
              <w:rPr>
                <w:rtl w:val="0"/>
              </w:rPr>
            </w:r>
          </w:p>
        </w:tc>
      </w:tr>
      <w:tr>
        <w:trPr>
          <w:trHeight w:val="1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Declaración Jurada articulo 100</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SI</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SI</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SI</w:t>
            </w:r>
            <w:r w:rsidDel="00000000" w:rsidR="00000000" w:rsidRPr="00000000">
              <w:rPr>
                <w:rtl w:val="0"/>
              </w:rPr>
            </w:r>
          </w:p>
        </w:tc>
      </w:tr>
    </w:tbl>
    <w:p w:rsidR="00000000" w:rsidDel="00000000" w:rsidP="00000000" w:rsidRDefault="00000000" w:rsidRPr="00000000">
      <w:pPr>
        <w:spacing w:after="0" w:lineRule="auto"/>
        <w:ind w:left="2832"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after="0" w:before="0" w:lineRule="auto"/>
        <w:ind w:left="709" w:firstLine="0"/>
        <w:contextualSpacing w:val="0"/>
        <w:jc w:val="both"/>
      </w:pPr>
      <w:r w:rsidDel="00000000" w:rsidR="00000000" w:rsidRPr="00000000">
        <w:rPr>
          <w:rFonts w:ascii="Arial" w:cs="Arial" w:eastAsia="Arial" w:hAnsi="Arial"/>
          <w:i w:val="1"/>
          <w:sz w:val="22"/>
          <w:szCs w:val="22"/>
          <w:vertAlign w:val="baseline"/>
          <w:rtl w:val="0"/>
        </w:rPr>
        <w:t xml:space="preserve">Con base en el análisis técnico realizado por los técnicos del Centro de Cómputo, según Oficio CC-405-2012 suscrito por el Ing. Alfredo Villarreal, Director del Centro de Cómputo se recomienda adjudicar a la empresa Central de Servicios PC, S.A. por ser la oferta que cumple con los aspectos tanto técnicos como legales solicitados en el cartel, así como por obtener la mayor calificación. (Véase Folios del 3579 al 3585 del expediente)</w:t>
      </w:r>
      <w:r w:rsidDel="00000000" w:rsidR="00000000" w:rsidRPr="00000000">
        <w:rPr>
          <w:rtl w:val="0"/>
        </w:rPr>
      </w:r>
    </w:p>
    <w:p w:rsidR="00000000" w:rsidDel="00000000" w:rsidP="00000000" w:rsidRDefault="00000000" w:rsidRPr="00000000">
      <w:pPr>
        <w:keepNext w:val="1"/>
        <w:numPr>
          <w:ilvl w:val="0"/>
          <w:numId w:val="7"/>
        </w:numPr>
        <w:spacing w:after="60" w:before="240" w:lineRule="auto"/>
        <w:ind w:left="1418" w:hanging="709"/>
        <w:jc w:val="both"/>
        <w:rPr>
          <w:rFonts w:ascii="Arial" w:cs="Arial" w:eastAsia="Arial" w:hAnsi="Arial"/>
          <w:i w:val="0"/>
        </w:rPr>
      </w:pPr>
      <w:r w:rsidDel="00000000" w:rsidR="00000000" w:rsidRPr="00000000">
        <w:rPr>
          <w:rFonts w:ascii="Arial" w:cs="Arial" w:eastAsia="Arial" w:hAnsi="Arial"/>
          <w:b w:val="1"/>
          <w:i w:val="1"/>
          <w:sz w:val="22"/>
          <w:szCs w:val="22"/>
          <w:vertAlign w:val="baseline"/>
          <w:rtl w:val="0"/>
        </w:rPr>
        <w:t xml:space="preserve">Recomendación de Adjudicación</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i w:val="1"/>
          <w:sz w:val="22"/>
          <w:szCs w:val="22"/>
          <w:vertAlign w:val="baseline"/>
          <w:rtl w:val="0"/>
        </w:rPr>
        <w:t xml:space="preserve">En consideración con el análisis anterior se recomienda adjudicar a:</w:t>
      </w:r>
      <w:r w:rsidDel="00000000" w:rsidR="00000000" w:rsidRPr="00000000">
        <w:rPr>
          <w:rtl w:val="0"/>
        </w:rPr>
      </w:r>
    </w:p>
    <w:p w:rsidR="00000000" w:rsidDel="00000000" w:rsidP="00000000" w:rsidRDefault="00000000" w:rsidRPr="00000000">
      <w:pPr>
        <w:ind w:left="2832" w:firstLine="0"/>
        <w:contextualSpacing w:val="0"/>
        <w:jc w:val="both"/>
      </w:pPr>
      <w:r w:rsidDel="00000000" w:rsidR="00000000" w:rsidRPr="00000000">
        <w:rPr>
          <w:rtl w:val="0"/>
        </w:rPr>
      </w:r>
    </w:p>
    <w:p w:rsidR="00000000" w:rsidDel="00000000" w:rsidP="00000000" w:rsidRDefault="00000000" w:rsidRPr="00000000">
      <w:pPr>
        <w:tabs>
          <w:tab w:val="left" w:pos="2400"/>
        </w:tabs>
        <w:contextualSpacing w:val="0"/>
        <w:jc w:val="center"/>
      </w:pPr>
      <w:r w:rsidDel="00000000" w:rsidR="00000000" w:rsidRPr="00000000">
        <w:rPr>
          <w:rFonts w:ascii="Arial" w:cs="Arial" w:eastAsia="Arial" w:hAnsi="Arial"/>
          <w:b w:val="1"/>
          <w:i w:val="1"/>
          <w:sz w:val="22"/>
          <w:szCs w:val="22"/>
          <w:vertAlign w:val="baseline"/>
          <w:rtl w:val="0"/>
        </w:rPr>
        <w:t xml:space="preserve">Central de Servicios PC, S.A.</w:t>
      </w:r>
      <w:r w:rsidDel="00000000" w:rsidR="00000000" w:rsidRPr="00000000">
        <w:rPr>
          <w:rtl w:val="0"/>
        </w:rPr>
      </w:r>
    </w:p>
    <w:p w:rsidR="00000000" w:rsidDel="00000000" w:rsidP="00000000" w:rsidRDefault="00000000" w:rsidRPr="00000000">
      <w:pPr>
        <w:tabs>
          <w:tab w:val="left" w:pos="2400"/>
        </w:tabs>
        <w:contextualSpacing w:val="0"/>
        <w:jc w:val="center"/>
      </w:pPr>
      <w:r w:rsidDel="00000000" w:rsidR="00000000" w:rsidRPr="00000000">
        <w:rPr>
          <w:rFonts w:ascii="Arial" w:cs="Arial" w:eastAsia="Arial" w:hAnsi="Arial"/>
          <w:b w:val="1"/>
          <w:i w:val="1"/>
          <w:sz w:val="22"/>
          <w:szCs w:val="22"/>
          <w:vertAlign w:val="baseline"/>
          <w:rtl w:val="0"/>
        </w:rPr>
        <w:t xml:space="preserve">Cédula Jurídica Nº 3-101-096527</w:t>
      </w:r>
      <w:r w:rsidDel="00000000" w:rsidR="00000000" w:rsidRPr="00000000">
        <w:rPr>
          <w:rtl w:val="0"/>
        </w:rPr>
      </w:r>
    </w:p>
    <w:tbl>
      <w:tblPr>
        <w:tblStyle w:val="Table3"/>
        <w:bidi w:val="0"/>
        <w:tblW w:w="8347.0" w:type="dxa"/>
        <w:jc w:val="center"/>
        <w:tblInd w:w="600.0" w:type="dxa"/>
        <w:tblLayout w:type="fixed"/>
        <w:tblLook w:val="0000"/>
      </w:tblPr>
      <w:tblGrid>
        <w:gridCol w:w="665"/>
        <w:gridCol w:w="1079"/>
        <w:gridCol w:w="4131"/>
        <w:gridCol w:w="1255"/>
        <w:gridCol w:w="1217"/>
        <w:tblGridChange w:id="0">
          <w:tblGrid>
            <w:gridCol w:w="665"/>
            <w:gridCol w:w="1079"/>
            <w:gridCol w:w="4131"/>
            <w:gridCol w:w="1255"/>
            <w:gridCol w:w="1217"/>
          </w:tblGrid>
        </w:tblGridChange>
      </w:tblGrid>
      <w:tr>
        <w:trPr>
          <w:trHeight w:val="540" w:hRule="atLeast"/>
        </w:trPr>
        <w:tc>
          <w:tcPr>
            <w:gridSpan w:val="3"/>
            <w:vAlign w:val="center"/>
          </w:tcPr>
          <w:p w:rsidR="00000000" w:rsidDel="00000000" w:rsidP="00000000" w:rsidRDefault="00000000" w:rsidRPr="00000000">
            <w:pPr>
              <w:widowControl w:val="0"/>
              <w:ind w:left="844" w:firstLine="0"/>
              <w:contextualSpacing w:val="0"/>
            </w:pPr>
            <w:r w:rsidDel="00000000" w:rsidR="00000000" w:rsidRPr="00000000">
              <w:rPr>
                <w:rFonts w:ascii="Arial" w:cs="Arial" w:eastAsia="Arial" w:hAnsi="Arial"/>
                <w:b w:val="1"/>
                <w:i w:val="1"/>
                <w:sz w:val="22"/>
                <w:szCs w:val="22"/>
                <w:vertAlign w:val="baseline"/>
                <w:rtl w:val="0"/>
              </w:rPr>
              <w:t xml:space="preserve">Ítem Nº 1</w:t>
            </w:r>
            <w:r w:rsidDel="00000000" w:rsidR="00000000" w:rsidRPr="00000000">
              <w:rPr>
                <w:rtl w:val="0"/>
              </w:rPr>
            </w:r>
          </w:p>
        </w:tc>
        <w:tc>
          <w:tcPr>
            <w:vAlign w:val="center"/>
          </w:tcPr>
          <w:p w:rsidR="00000000" w:rsidDel="00000000" w:rsidP="00000000" w:rsidRDefault="00000000" w:rsidRPr="00000000">
            <w:pPr>
              <w:widowControl w:val="0"/>
              <w:contextualSpacing w:val="0"/>
              <w:jc w:val="center"/>
            </w:pPr>
            <w:r w:rsidDel="00000000" w:rsidR="00000000" w:rsidRPr="00000000">
              <w:rPr>
                <w:rtl w:val="0"/>
              </w:rPr>
            </w:r>
          </w:p>
        </w:tc>
        <w:tc>
          <w:tcPr>
            <w:vAlign w:val="center"/>
          </w:tcPr>
          <w:p w:rsidR="00000000" w:rsidDel="00000000" w:rsidP="00000000" w:rsidRDefault="00000000" w:rsidRPr="00000000">
            <w:pPr>
              <w:widowControl w:val="0"/>
              <w:contextualSpacing w:val="0"/>
              <w:jc w:val="center"/>
            </w:pPr>
            <w:r w:rsidDel="00000000" w:rsidR="00000000" w:rsidRPr="00000000">
              <w:rPr>
                <w:rtl w:val="0"/>
              </w:rPr>
            </w:r>
          </w:p>
        </w:tc>
      </w:tr>
      <w:tr>
        <w:trPr>
          <w:trHeight w:val="220" w:hRule="atLeast"/>
        </w:trPr>
        <w:tc>
          <w:tcPr>
            <w:vAlign w:val="center"/>
          </w:tcPr>
          <w:p w:rsidR="00000000" w:rsidDel="00000000" w:rsidP="00000000" w:rsidRDefault="00000000" w:rsidRPr="00000000">
            <w:pPr>
              <w:widowControl w:val="0"/>
              <w:contextualSpacing w:val="0"/>
              <w:jc w:val="center"/>
            </w:pPr>
            <w:r w:rsidDel="00000000" w:rsidR="00000000" w:rsidRPr="00000000">
              <w:rPr>
                <w:b w:val="1"/>
                <w:i w:val="1"/>
                <w:sz w:val="18"/>
                <w:szCs w:val="18"/>
                <w:vertAlign w:val="baseline"/>
                <w:rtl w:val="0"/>
              </w:rPr>
              <w:t xml:space="preserve">Línea</w:t>
            </w:r>
            <w:r w:rsidDel="00000000" w:rsidR="00000000" w:rsidRPr="00000000">
              <w:rPr>
                <w:rtl w:val="0"/>
              </w:rPr>
            </w:r>
          </w:p>
        </w:tc>
        <w:tc>
          <w:tcPr>
            <w:vAlign w:val="center"/>
          </w:tcPr>
          <w:p w:rsidR="00000000" w:rsidDel="00000000" w:rsidP="00000000" w:rsidRDefault="00000000" w:rsidRPr="00000000">
            <w:pPr>
              <w:widowControl w:val="0"/>
              <w:contextualSpacing w:val="0"/>
              <w:jc w:val="center"/>
            </w:pPr>
            <w:r w:rsidDel="00000000" w:rsidR="00000000" w:rsidRPr="00000000">
              <w:rPr>
                <w:b w:val="1"/>
                <w:i w:val="1"/>
                <w:sz w:val="18"/>
                <w:szCs w:val="18"/>
                <w:vertAlign w:val="baseline"/>
                <w:rtl w:val="0"/>
              </w:rPr>
              <w:t xml:space="preserve">Cantidad</w:t>
            </w:r>
            <w:r w:rsidDel="00000000" w:rsidR="00000000" w:rsidRPr="00000000">
              <w:rPr>
                <w:rtl w:val="0"/>
              </w:rPr>
            </w:r>
          </w:p>
        </w:tc>
        <w:tc>
          <w:tcPr>
            <w:vAlign w:val="center"/>
          </w:tcPr>
          <w:p w:rsidR="00000000" w:rsidDel="00000000" w:rsidP="00000000" w:rsidRDefault="00000000" w:rsidRPr="00000000">
            <w:pPr>
              <w:widowControl w:val="0"/>
              <w:contextualSpacing w:val="0"/>
              <w:jc w:val="center"/>
            </w:pPr>
            <w:r w:rsidDel="00000000" w:rsidR="00000000" w:rsidRPr="00000000">
              <w:rPr>
                <w:b w:val="1"/>
                <w:i w:val="1"/>
                <w:sz w:val="18"/>
                <w:szCs w:val="18"/>
                <w:vertAlign w:val="baseline"/>
                <w:rtl w:val="0"/>
              </w:rPr>
              <w:t xml:space="preserve">Descripción</w:t>
            </w:r>
            <w:r w:rsidDel="00000000" w:rsidR="00000000" w:rsidRPr="00000000">
              <w:rPr>
                <w:rtl w:val="0"/>
              </w:rPr>
            </w:r>
          </w:p>
        </w:tc>
        <w:tc>
          <w:tcPr>
            <w:vAlign w:val="center"/>
          </w:tcPr>
          <w:p w:rsidR="00000000" w:rsidDel="00000000" w:rsidP="00000000" w:rsidRDefault="00000000" w:rsidRPr="00000000">
            <w:pPr>
              <w:widowControl w:val="0"/>
              <w:contextualSpacing w:val="0"/>
              <w:jc w:val="center"/>
            </w:pPr>
            <w:r w:rsidDel="00000000" w:rsidR="00000000" w:rsidRPr="00000000">
              <w:rPr>
                <w:b w:val="1"/>
                <w:i w:val="1"/>
                <w:sz w:val="18"/>
                <w:szCs w:val="18"/>
                <w:vertAlign w:val="baseline"/>
                <w:rtl w:val="0"/>
              </w:rPr>
              <w:t xml:space="preserve">Precio Unitario</w:t>
            </w:r>
            <w:r w:rsidDel="00000000" w:rsidR="00000000" w:rsidRPr="00000000">
              <w:rPr>
                <w:rtl w:val="0"/>
              </w:rPr>
            </w:r>
          </w:p>
        </w:tc>
        <w:tc>
          <w:tcPr>
            <w:vAlign w:val="center"/>
          </w:tcPr>
          <w:p w:rsidR="00000000" w:rsidDel="00000000" w:rsidP="00000000" w:rsidRDefault="00000000" w:rsidRPr="00000000">
            <w:pPr>
              <w:widowControl w:val="0"/>
              <w:contextualSpacing w:val="0"/>
              <w:jc w:val="center"/>
            </w:pPr>
            <w:r w:rsidDel="00000000" w:rsidR="00000000" w:rsidRPr="00000000">
              <w:rPr>
                <w:b w:val="1"/>
                <w:i w:val="1"/>
                <w:sz w:val="18"/>
                <w:szCs w:val="18"/>
                <w:vertAlign w:val="baseline"/>
                <w:rtl w:val="0"/>
              </w:rPr>
              <w:t xml:space="preserve">Precio Total</w:t>
            </w:r>
            <w:r w:rsidDel="00000000" w:rsidR="00000000" w:rsidRPr="00000000">
              <w:rPr>
                <w:rtl w:val="0"/>
              </w:rPr>
            </w:r>
          </w:p>
        </w:tc>
      </w:tr>
      <w:tr>
        <w:trPr>
          <w:trHeight w:val="600" w:hRule="atLeast"/>
        </w:trPr>
        <w:tc>
          <w:tcPr>
            <w:vAlign w:val="center"/>
          </w:tcPr>
          <w:p w:rsidR="00000000" w:rsidDel="00000000" w:rsidP="00000000" w:rsidRDefault="00000000" w:rsidRPr="00000000">
            <w:pPr>
              <w:widowControl w:val="0"/>
              <w:numPr>
                <w:ilvl w:val="0"/>
                <w:numId w:val="4"/>
              </w:numPr>
              <w:ind w:left="360" w:hanging="360"/>
              <w:rPr>
                <w:rFonts w:ascii="Arial" w:cs="Arial" w:eastAsia="Arial" w:hAnsi="Arial"/>
                <w:b w:val="0"/>
                <w:i w:val="0"/>
              </w:rPr>
            </w:pPr>
            <w:r w:rsidDel="00000000" w:rsidR="00000000" w:rsidRPr="00000000">
              <w:rPr>
                <w:rtl w:val="0"/>
              </w:rPr>
            </w:r>
          </w:p>
        </w:tc>
        <w:tc>
          <w:tcPr>
            <w:vAlign w:val="cente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i w:val="1"/>
                <w:sz w:val="18"/>
                <w:szCs w:val="18"/>
                <w:vertAlign w:val="baseline"/>
                <w:rtl w:val="0"/>
              </w:rPr>
              <w:t xml:space="preserve">197</w:t>
            </w:r>
            <w:r w:rsidDel="00000000" w:rsidR="00000000" w:rsidRPr="00000000">
              <w:rPr>
                <w:rtl w:val="0"/>
              </w:rPr>
            </w:r>
          </w:p>
        </w:tc>
        <w:tc>
          <w:tcPr>
            <w:vAlign w:val="center"/>
          </w:tcPr>
          <w:p w:rsidR="00000000" w:rsidDel="00000000" w:rsidP="00000000" w:rsidRDefault="00000000" w:rsidRPr="00000000">
            <w:pPr>
              <w:widowControl w:val="0"/>
              <w:contextualSpacing w:val="0"/>
            </w:pPr>
            <w:r w:rsidDel="00000000" w:rsidR="00000000" w:rsidRPr="00000000">
              <w:rPr>
                <w:rFonts w:ascii="Arial" w:cs="Arial" w:eastAsia="Arial" w:hAnsi="Arial"/>
                <w:i w:val="1"/>
                <w:sz w:val="18"/>
                <w:szCs w:val="18"/>
                <w:vertAlign w:val="baseline"/>
                <w:rtl w:val="0"/>
              </w:rPr>
              <w:t xml:space="preserve">COMPUTADORA PARA LABORATORIO MARCA DELL MODELO OPTIPLEX 790 USFF</w:t>
            </w:r>
            <w:r w:rsidDel="00000000" w:rsidR="00000000" w:rsidRPr="00000000">
              <w:rPr>
                <w:rtl w:val="0"/>
              </w:rPr>
            </w:r>
          </w:p>
        </w:tc>
        <w:tc>
          <w:tcPr>
            <w:vAlign w:val="center"/>
          </w:tcPr>
          <w:p w:rsidR="00000000" w:rsidDel="00000000" w:rsidP="00000000" w:rsidRDefault="00000000" w:rsidRPr="00000000">
            <w:pPr>
              <w:widowControl w:val="0"/>
              <w:contextualSpacing w:val="0"/>
              <w:jc w:val="right"/>
            </w:pPr>
            <w:r w:rsidDel="00000000" w:rsidR="00000000" w:rsidRPr="00000000">
              <w:rPr>
                <w:rFonts w:ascii="Arial" w:cs="Arial" w:eastAsia="Arial" w:hAnsi="Arial"/>
                <w:i w:val="1"/>
                <w:sz w:val="18"/>
                <w:szCs w:val="18"/>
                <w:vertAlign w:val="baseline"/>
                <w:rtl w:val="0"/>
              </w:rPr>
              <w:t xml:space="preserve">$1,004.65</w:t>
            </w:r>
            <w:r w:rsidDel="00000000" w:rsidR="00000000" w:rsidRPr="00000000">
              <w:rPr>
                <w:rtl w:val="0"/>
              </w:rPr>
            </w:r>
          </w:p>
        </w:tc>
        <w:tc>
          <w:tcPr>
            <w:vAlign w:val="center"/>
          </w:tcPr>
          <w:p w:rsidR="00000000" w:rsidDel="00000000" w:rsidP="00000000" w:rsidRDefault="00000000" w:rsidRPr="00000000">
            <w:pPr>
              <w:widowControl w:val="0"/>
              <w:contextualSpacing w:val="0"/>
              <w:jc w:val="right"/>
            </w:pPr>
            <w:r w:rsidDel="00000000" w:rsidR="00000000" w:rsidRPr="00000000">
              <w:rPr>
                <w:rFonts w:ascii="Arial" w:cs="Arial" w:eastAsia="Arial" w:hAnsi="Arial"/>
                <w:i w:val="1"/>
                <w:sz w:val="18"/>
                <w:szCs w:val="18"/>
                <w:vertAlign w:val="baseline"/>
                <w:rtl w:val="0"/>
              </w:rPr>
              <w:t xml:space="preserve">$197,916.05</w:t>
            </w:r>
            <w:r w:rsidDel="00000000" w:rsidR="00000000" w:rsidRPr="00000000">
              <w:rPr>
                <w:rtl w:val="0"/>
              </w:rPr>
            </w:r>
          </w:p>
        </w:tc>
      </w:tr>
      <w:tr>
        <w:trPr>
          <w:trHeight w:val="600" w:hRule="atLeast"/>
        </w:trPr>
        <w:tc>
          <w:tcPr>
            <w:vAlign w:val="center"/>
          </w:tcPr>
          <w:p w:rsidR="00000000" w:rsidDel="00000000" w:rsidP="00000000" w:rsidRDefault="00000000" w:rsidRPr="00000000">
            <w:pPr>
              <w:widowControl w:val="0"/>
              <w:numPr>
                <w:ilvl w:val="0"/>
                <w:numId w:val="4"/>
              </w:numPr>
              <w:ind w:left="360" w:hanging="360"/>
              <w:rPr>
                <w:rFonts w:ascii="Arial" w:cs="Arial" w:eastAsia="Arial" w:hAnsi="Arial"/>
                <w:b w:val="0"/>
                <w:i w:val="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i w:val="1"/>
                <w:sz w:val="18"/>
                <w:szCs w:val="18"/>
                <w:vertAlign w:val="baseline"/>
                <w:rtl w:val="0"/>
              </w:rPr>
              <w:t xml:space="preserve">122</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widowControl w:val="0"/>
              <w:contextualSpacing w:val="0"/>
            </w:pPr>
            <w:r w:rsidDel="00000000" w:rsidR="00000000" w:rsidRPr="00000000">
              <w:rPr>
                <w:rFonts w:ascii="Arial" w:cs="Arial" w:eastAsia="Arial" w:hAnsi="Arial"/>
                <w:i w:val="1"/>
                <w:sz w:val="18"/>
                <w:szCs w:val="18"/>
                <w:vertAlign w:val="baseline"/>
                <w:rtl w:val="0"/>
              </w:rPr>
              <w:t xml:space="preserve">COMPUTADORA DE ESCRITORIO MARCA DELL MODELO OPTIPLEX 790</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widowControl w:val="0"/>
              <w:contextualSpacing w:val="0"/>
              <w:jc w:val="right"/>
            </w:pPr>
            <w:r w:rsidDel="00000000" w:rsidR="00000000" w:rsidRPr="00000000">
              <w:rPr>
                <w:rFonts w:ascii="Arial" w:cs="Arial" w:eastAsia="Arial" w:hAnsi="Arial"/>
                <w:i w:val="1"/>
                <w:sz w:val="18"/>
                <w:szCs w:val="18"/>
                <w:vertAlign w:val="baseline"/>
                <w:rtl w:val="0"/>
              </w:rPr>
              <w:t xml:space="preserve">$899.09</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widowControl w:val="0"/>
              <w:contextualSpacing w:val="0"/>
              <w:jc w:val="right"/>
            </w:pPr>
            <w:r w:rsidDel="00000000" w:rsidR="00000000" w:rsidRPr="00000000">
              <w:rPr>
                <w:rFonts w:ascii="Arial" w:cs="Arial" w:eastAsia="Arial" w:hAnsi="Arial"/>
                <w:i w:val="1"/>
                <w:sz w:val="18"/>
                <w:szCs w:val="18"/>
                <w:vertAlign w:val="baseline"/>
                <w:rtl w:val="0"/>
              </w:rPr>
              <w:t xml:space="preserve">$109,688.98</w:t>
            </w:r>
            <w:r w:rsidDel="00000000" w:rsidR="00000000" w:rsidRPr="00000000">
              <w:rPr>
                <w:rtl w:val="0"/>
              </w:rPr>
            </w:r>
          </w:p>
        </w:tc>
      </w:tr>
      <w:tr>
        <w:trPr>
          <w:trHeight w:val="440" w:hRule="atLeast"/>
        </w:trPr>
        <w:tc>
          <w:tcPr>
            <w:vAlign w:val="center"/>
          </w:tcPr>
          <w:p w:rsidR="00000000" w:rsidDel="00000000" w:rsidP="00000000" w:rsidRDefault="00000000" w:rsidRPr="00000000">
            <w:pPr>
              <w:widowControl w:val="0"/>
              <w:numPr>
                <w:ilvl w:val="0"/>
                <w:numId w:val="4"/>
              </w:numPr>
              <w:ind w:left="360" w:hanging="360"/>
              <w:rPr>
                <w:rFonts w:ascii="Arial" w:cs="Arial" w:eastAsia="Arial" w:hAnsi="Arial"/>
                <w:b w:val="0"/>
                <w:i w:val="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i w:val="1"/>
                <w:sz w:val="18"/>
                <w:szCs w:val="18"/>
                <w:vertAlign w:val="baseline"/>
                <w:rtl w:val="0"/>
              </w:rPr>
              <w:t xml:space="preserve">58</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widowControl w:val="0"/>
              <w:contextualSpacing w:val="0"/>
            </w:pPr>
            <w:r w:rsidDel="00000000" w:rsidR="00000000" w:rsidRPr="00000000">
              <w:rPr>
                <w:rFonts w:ascii="Arial" w:cs="Arial" w:eastAsia="Arial" w:hAnsi="Arial"/>
                <w:i w:val="1"/>
                <w:sz w:val="18"/>
                <w:szCs w:val="18"/>
                <w:vertAlign w:val="baseline"/>
                <w:rtl w:val="0"/>
              </w:rPr>
              <w:t xml:space="preserve">COMPUTADORA PORTATIL MARCA DELL MODELO LATITUDE E6420</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widowControl w:val="0"/>
              <w:contextualSpacing w:val="0"/>
              <w:jc w:val="right"/>
            </w:pPr>
            <w:r w:rsidDel="00000000" w:rsidR="00000000" w:rsidRPr="00000000">
              <w:rPr>
                <w:rFonts w:ascii="Arial" w:cs="Arial" w:eastAsia="Arial" w:hAnsi="Arial"/>
                <w:i w:val="1"/>
                <w:sz w:val="18"/>
                <w:szCs w:val="18"/>
                <w:vertAlign w:val="baseline"/>
                <w:rtl w:val="0"/>
              </w:rPr>
              <w:t xml:space="preserve">$1,209.85</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widowControl w:val="0"/>
              <w:contextualSpacing w:val="0"/>
              <w:jc w:val="right"/>
            </w:pPr>
            <w:r w:rsidDel="00000000" w:rsidR="00000000" w:rsidRPr="00000000">
              <w:rPr>
                <w:rFonts w:ascii="Arial" w:cs="Arial" w:eastAsia="Arial" w:hAnsi="Arial"/>
                <w:i w:val="1"/>
                <w:sz w:val="18"/>
                <w:szCs w:val="18"/>
                <w:vertAlign w:val="baseline"/>
                <w:rtl w:val="0"/>
              </w:rPr>
              <w:t xml:space="preserve">$70,171.30</w:t>
            </w:r>
            <w:r w:rsidDel="00000000" w:rsidR="00000000" w:rsidRPr="00000000">
              <w:rPr>
                <w:rtl w:val="0"/>
              </w:rPr>
            </w:r>
          </w:p>
        </w:tc>
      </w:tr>
      <w:tr>
        <w:trPr>
          <w:trHeight w:val="440" w:hRule="atLeast"/>
        </w:trPr>
        <w:tc>
          <w:tcPr>
            <w:vAlign w:val="center"/>
          </w:tcPr>
          <w:p w:rsidR="00000000" w:rsidDel="00000000" w:rsidP="00000000" w:rsidRDefault="00000000" w:rsidRPr="00000000">
            <w:pPr>
              <w:widowControl w:val="0"/>
              <w:numPr>
                <w:ilvl w:val="0"/>
                <w:numId w:val="4"/>
              </w:numPr>
              <w:ind w:left="360" w:hanging="360"/>
              <w:rPr>
                <w:rFonts w:ascii="Arial" w:cs="Arial" w:eastAsia="Arial" w:hAnsi="Arial"/>
                <w:b w:val="0"/>
                <w:i w:val="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i w:val="1"/>
                <w:sz w:val="18"/>
                <w:szCs w:val="18"/>
                <w:vertAlign w:val="baseline"/>
                <w:rtl w:val="0"/>
              </w:rPr>
              <w:t xml:space="preserve">7</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widowControl w:val="0"/>
              <w:contextualSpacing w:val="0"/>
            </w:pPr>
            <w:r w:rsidDel="00000000" w:rsidR="00000000" w:rsidRPr="00000000">
              <w:rPr>
                <w:rFonts w:ascii="Arial" w:cs="Arial" w:eastAsia="Arial" w:hAnsi="Arial"/>
                <w:i w:val="1"/>
                <w:sz w:val="18"/>
                <w:szCs w:val="18"/>
                <w:vertAlign w:val="baseline"/>
                <w:rtl w:val="0"/>
              </w:rPr>
              <w:t xml:space="preserve">COMPUTADORA PORTATIL MARCA DELL MODELO LATITUDE E2120</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widowControl w:val="0"/>
              <w:contextualSpacing w:val="0"/>
              <w:jc w:val="right"/>
            </w:pPr>
            <w:r w:rsidDel="00000000" w:rsidR="00000000" w:rsidRPr="00000000">
              <w:rPr>
                <w:rFonts w:ascii="Arial" w:cs="Arial" w:eastAsia="Arial" w:hAnsi="Arial"/>
                <w:i w:val="1"/>
                <w:sz w:val="18"/>
                <w:szCs w:val="18"/>
                <w:vertAlign w:val="baseline"/>
                <w:rtl w:val="0"/>
              </w:rPr>
              <w:t xml:space="preserve">$669.06</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widowControl w:val="0"/>
              <w:contextualSpacing w:val="0"/>
              <w:jc w:val="right"/>
            </w:pPr>
            <w:r w:rsidDel="00000000" w:rsidR="00000000" w:rsidRPr="00000000">
              <w:rPr>
                <w:rFonts w:ascii="Arial" w:cs="Arial" w:eastAsia="Arial" w:hAnsi="Arial"/>
                <w:i w:val="1"/>
                <w:sz w:val="18"/>
                <w:szCs w:val="18"/>
                <w:vertAlign w:val="baseline"/>
                <w:rtl w:val="0"/>
              </w:rPr>
              <w:t xml:space="preserve">$4,683.42</w:t>
            </w:r>
            <w:r w:rsidDel="00000000" w:rsidR="00000000" w:rsidRPr="00000000">
              <w:rPr>
                <w:rtl w:val="0"/>
              </w:rPr>
            </w:r>
          </w:p>
        </w:tc>
      </w:tr>
    </w:tbl>
    <w:p w:rsidR="00000000" w:rsidDel="00000000" w:rsidP="00000000" w:rsidRDefault="00000000" w:rsidRPr="00000000">
      <w:pPr>
        <w:spacing w:line="276" w:lineRule="auto"/>
        <w:ind w:left="708" w:firstLine="0"/>
        <w:contextualSpacing w:val="0"/>
        <w:jc w:val="both"/>
      </w:pPr>
      <w:r w:rsidDel="00000000" w:rsidR="00000000" w:rsidRPr="00000000">
        <w:rPr>
          <w:rtl w:val="0"/>
        </w:rPr>
      </w:r>
    </w:p>
    <w:p w:rsidR="00000000" w:rsidDel="00000000" w:rsidP="00000000" w:rsidRDefault="00000000" w:rsidRPr="00000000">
      <w:pPr>
        <w:spacing w:line="360" w:lineRule="auto"/>
        <w:ind w:left="708" w:firstLine="0"/>
        <w:contextualSpacing w:val="0"/>
        <w:jc w:val="both"/>
      </w:pPr>
      <w:r w:rsidDel="00000000" w:rsidR="00000000" w:rsidRPr="00000000">
        <w:rPr>
          <w:rFonts w:ascii="Arial" w:cs="Arial" w:eastAsia="Arial" w:hAnsi="Arial"/>
          <w:b w:val="1"/>
          <w:i w:val="1"/>
          <w:sz w:val="22"/>
          <w:szCs w:val="22"/>
          <w:vertAlign w:val="baseline"/>
          <w:rtl w:val="0"/>
        </w:rPr>
        <w:t xml:space="preserve">Total Adjudicado:</w:t>
        <w:tab/>
        <w:tab/>
        <w:tab/>
        <w:tab/>
        <w:tab/>
        <w:tab/>
        <w:tab/>
        <w:t xml:space="preserve">$ 382.459,75</w:t>
      </w:r>
      <w:r w:rsidDel="00000000" w:rsidR="00000000" w:rsidRPr="00000000">
        <w:rPr>
          <w:rtl w:val="0"/>
        </w:rPr>
      </w:r>
    </w:p>
    <w:p w:rsidR="00000000" w:rsidDel="00000000" w:rsidP="00000000" w:rsidRDefault="00000000" w:rsidRPr="00000000">
      <w:pPr>
        <w:spacing w:line="360" w:lineRule="auto"/>
        <w:ind w:left="708" w:firstLine="0"/>
        <w:contextualSpacing w:val="0"/>
        <w:jc w:val="both"/>
      </w:pPr>
      <w:r w:rsidDel="00000000" w:rsidR="00000000" w:rsidRPr="00000000">
        <w:rPr>
          <w:rFonts w:ascii="Arial" w:cs="Arial" w:eastAsia="Arial" w:hAnsi="Arial"/>
          <w:b w:val="1"/>
          <w:i w:val="1"/>
          <w:sz w:val="22"/>
          <w:szCs w:val="22"/>
          <w:vertAlign w:val="baseline"/>
          <w:rtl w:val="0"/>
        </w:rPr>
        <w:t xml:space="preserve">Tiempo de Entrega:</w:t>
        <w:tab/>
        <w:tab/>
        <w:t xml:space="preserve">30 días hábiles</w:t>
      </w:r>
      <w:r w:rsidDel="00000000" w:rsidR="00000000" w:rsidRPr="00000000">
        <w:rPr>
          <w:rtl w:val="0"/>
        </w:rPr>
      </w:r>
    </w:p>
    <w:p w:rsidR="00000000" w:rsidDel="00000000" w:rsidP="00000000" w:rsidRDefault="00000000" w:rsidRPr="00000000">
      <w:pPr>
        <w:tabs>
          <w:tab w:val="left" w:pos="2268"/>
        </w:tabs>
        <w:spacing w:line="360" w:lineRule="auto"/>
        <w:ind w:left="708" w:firstLine="0"/>
        <w:contextualSpacing w:val="0"/>
        <w:jc w:val="both"/>
      </w:pPr>
      <w:r w:rsidDel="00000000" w:rsidR="00000000" w:rsidRPr="00000000">
        <w:rPr>
          <w:rFonts w:ascii="Arial" w:cs="Arial" w:eastAsia="Arial" w:hAnsi="Arial"/>
          <w:b w:val="1"/>
          <w:i w:val="1"/>
          <w:sz w:val="22"/>
          <w:szCs w:val="22"/>
          <w:vertAlign w:val="baseline"/>
          <w:rtl w:val="0"/>
        </w:rPr>
        <w:t xml:space="preserve">Forma de Pago:</w:t>
        <w:tab/>
        <w:tab/>
        <w:t xml:space="preserve">30 días naturales</w:t>
      </w:r>
      <w:r w:rsidDel="00000000" w:rsidR="00000000" w:rsidRPr="00000000">
        <w:rPr>
          <w:rtl w:val="0"/>
        </w:rPr>
      </w:r>
    </w:p>
    <w:p w:rsidR="00000000" w:rsidDel="00000000" w:rsidP="00000000" w:rsidRDefault="00000000" w:rsidRPr="00000000">
      <w:pPr>
        <w:spacing w:line="360" w:lineRule="auto"/>
        <w:ind w:left="709" w:firstLine="0"/>
        <w:contextualSpacing w:val="0"/>
        <w:jc w:val="both"/>
      </w:pPr>
      <w:r w:rsidDel="00000000" w:rsidR="00000000" w:rsidRPr="00000000">
        <w:rPr>
          <w:rFonts w:ascii="Arial" w:cs="Arial" w:eastAsia="Arial" w:hAnsi="Arial"/>
          <w:b w:val="1"/>
          <w:i w:val="1"/>
          <w:sz w:val="22"/>
          <w:szCs w:val="22"/>
          <w:vertAlign w:val="baseline"/>
          <w:rtl w:val="0"/>
        </w:rPr>
        <w:t xml:space="preserve">Garantía de los Equipos:</w:t>
        <w:tab/>
        <w:t xml:space="preserve">3 años</w:t>
      </w:r>
      <w:r w:rsidDel="00000000" w:rsidR="00000000" w:rsidRPr="00000000">
        <w:rPr>
          <w:rtl w:val="0"/>
        </w:rPr>
      </w:r>
    </w:p>
    <w:p w:rsidR="00000000" w:rsidDel="00000000" w:rsidP="00000000" w:rsidRDefault="00000000" w:rsidRPr="00000000">
      <w:pPr>
        <w:keepNext w:val="1"/>
        <w:numPr>
          <w:ilvl w:val="0"/>
          <w:numId w:val="7"/>
        </w:numPr>
        <w:spacing w:after="60" w:before="240" w:lineRule="auto"/>
        <w:ind w:left="709" w:firstLine="0"/>
        <w:jc w:val="both"/>
        <w:rPr>
          <w:rFonts w:ascii="Arial" w:cs="Arial" w:eastAsia="Arial" w:hAnsi="Arial"/>
          <w:i w:val="0"/>
        </w:rPr>
      </w:pPr>
      <w:r w:rsidDel="00000000" w:rsidR="00000000" w:rsidRPr="00000000">
        <w:rPr>
          <w:rFonts w:ascii="Arial" w:cs="Arial" w:eastAsia="Arial" w:hAnsi="Arial"/>
          <w:b w:val="1"/>
          <w:i w:val="1"/>
          <w:sz w:val="22"/>
          <w:szCs w:val="22"/>
          <w:vertAlign w:val="baseline"/>
          <w:rtl w:val="0"/>
        </w:rPr>
        <w:t xml:space="preserve">Razones de la recomendación</w:t>
      </w:r>
      <w:r w:rsidDel="00000000" w:rsidR="00000000" w:rsidRPr="00000000">
        <w:rPr>
          <w:rtl w:val="0"/>
        </w:rPr>
      </w:r>
    </w:p>
    <w:p w:rsidR="00000000" w:rsidDel="00000000" w:rsidP="00000000" w:rsidRDefault="00000000" w:rsidRPr="00000000">
      <w:pPr>
        <w:numPr>
          <w:ilvl w:val="0"/>
          <w:numId w:val="2"/>
        </w:numPr>
        <w:spacing w:line="276" w:lineRule="auto"/>
        <w:ind w:left="993" w:firstLine="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Se toma en consideración recomendación técnica. </w:t>
      </w:r>
      <w:r w:rsidDel="00000000" w:rsidR="00000000" w:rsidRPr="00000000">
        <w:rPr>
          <w:rtl w:val="0"/>
        </w:rPr>
      </w:r>
    </w:p>
    <w:p w:rsidR="00000000" w:rsidDel="00000000" w:rsidP="00000000" w:rsidRDefault="00000000" w:rsidRPr="00000000">
      <w:pPr>
        <w:numPr>
          <w:ilvl w:val="0"/>
          <w:numId w:val="2"/>
        </w:numPr>
        <w:spacing w:line="276" w:lineRule="auto"/>
        <w:ind w:left="993" w:firstLine="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 oferta recomendada se ajusta a los requerimientos Institucionales.</w:t>
      </w:r>
      <w:r w:rsidDel="00000000" w:rsidR="00000000" w:rsidRPr="00000000">
        <w:rPr>
          <w:rtl w:val="0"/>
        </w:rPr>
      </w:r>
    </w:p>
    <w:p w:rsidR="00000000" w:rsidDel="00000000" w:rsidP="00000000" w:rsidRDefault="00000000" w:rsidRPr="00000000">
      <w:pPr>
        <w:numPr>
          <w:ilvl w:val="0"/>
          <w:numId w:val="2"/>
        </w:numPr>
        <w:spacing w:line="276" w:lineRule="auto"/>
        <w:ind w:left="993" w:firstLine="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Se ajusta a la disponibilidad presupuestaria.</w:t>
      </w:r>
      <w:r w:rsidDel="00000000" w:rsidR="00000000" w:rsidRPr="00000000">
        <w:rPr>
          <w:rtl w:val="0"/>
        </w:rPr>
      </w:r>
    </w:p>
    <w:p w:rsidR="00000000" w:rsidDel="00000000" w:rsidP="00000000" w:rsidRDefault="00000000" w:rsidRPr="00000000">
      <w:pPr>
        <w:spacing w:line="276" w:lineRule="auto"/>
        <w:ind w:left="993"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Comisión de Planificación y Administración, en reunión No. 490-2012, del 27 de setiembre de 2012, revisa exhaustivamente toda la documentación remitida y dispone elevar la propuesta al pleno del Consejo Institucional.</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Adjudicar la Licitación Pública Nº 2011LN-000003-APITCR “Adquisición de Equipo de Cómputo”, a la Empresa Central de Servicios PC, S.A., cédula jurídica No. 3-101-096527, por un monto de $382 459,75 (trescientos ochenta y dos mil cuatrocientos cincuenta y nueve dólares con setenta y cinco centavos), en razón de que la oferta se ajusta a lo solicitado en el Cartel de la Licitación.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Remitir el expediente de esta Licitación Pública a la Contraloría General de la República para el trámite</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respectivo.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Recordar a la Administración la aplicación del acuerdo tomado en Sesión Ordinaria No. 2679, Artículo 12, del 09 de setiembre de 2010, sobre la Creación de un Inventario de Equipo de Cómputo en caso de contingencia.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 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default"/>
      <w:footerReference r:id="rId8" w:type="first"/>
      <w:pgSz w:h="15840" w:w="12240"/>
      <w:pgMar w:bottom="851"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2786, Artículo 11,  del 03 de octubre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sz w:val="24"/>
        <w:szCs w:val="24"/>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1440" w:firstLine="1080"/>
      </w:pPr>
      <w:rPr>
        <w:b w:val="1"/>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
    <w:lvl w:ilvl="0">
      <w:start w:val="1"/>
      <w:numFmt w:val="lowerLetter"/>
      <w:lvlText w:val="%1."/>
      <w:lvlJc w:val="left"/>
      <w:pPr>
        <w:ind w:left="360" w:firstLine="0"/>
      </w:pPr>
      <w:rPr>
        <w:b w:val="1"/>
        <w:u w:val="none"/>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decimal"/>
      <w:lvlText w:val="%1."/>
      <w:lvlJc w:val="left"/>
      <w:pPr>
        <w:ind w:left="360" w:firstLine="0"/>
      </w:pPr>
      <w:rPr>
        <w:strike w:val="0"/>
        <w:sz w:val="16"/>
        <w:szCs w:val="16"/>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1287" w:firstLine="926.9999999999999"/>
      </w:pPr>
      <w:rPr>
        <w:rFonts w:ascii="Arial" w:cs="Arial" w:eastAsia="Arial" w:hAnsi="Arial"/>
        <w:vertAlign w:val="baseline"/>
      </w:rPr>
    </w:lvl>
    <w:lvl w:ilvl="1">
      <w:start w:val="1"/>
      <w:numFmt w:val="bullet"/>
      <w:lvlText w:val="o"/>
      <w:lvlJc w:val="left"/>
      <w:pPr>
        <w:ind w:left="2007" w:firstLine="1647"/>
      </w:pPr>
      <w:rPr>
        <w:rFonts w:ascii="Arial" w:cs="Arial" w:eastAsia="Arial" w:hAnsi="Arial"/>
        <w:vertAlign w:val="baseline"/>
      </w:rPr>
    </w:lvl>
    <w:lvl w:ilvl="2">
      <w:start w:val="1"/>
      <w:numFmt w:val="bullet"/>
      <w:lvlText w:val="▪"/>
      <w:lvlJc w:val="left"/>
      <w:pPr>
        <w:ind w:left="2727" w:firstLine="2367"/>
      </w:pPr>
      <w:rPr>
        <w:rFonts w:ascii="Arial" w:cs="Arial" w:eastAsia="Arial" w:hAnsi="Arial"/>
        <w:vertAlign w:val="baseline"/>
      </w:rPr>
    </w:lvl>
    <w:lvl w:ilvl="3">
      <w:start w:val="1"/>
      <w:numFmt w:val="bullet"/>
      <w:lvlText w:val="●"/>
      <w:lvlJc w:val="left"/>
      <w:pPr>
        <w:ind w:left="3447" w:firstLine="3087"/>
      </w:pPr>
      <w:rPr>
        <w:rFonts w:ascii="Arial" w:cs="Arial" w:eastAsia="Arial" w:hAnsi="Arial"/>
        <w:vertAlign w:val="baseline"/>
      </w:rPr>
    </w:lvl>
    <w:lvl w:ilvl="4">
      <w:start w:val="1"/>
      <w:numFmt w:val="bullet"/>
      <w:lvlText w:val="o"/>
      <w:lvlJc w:val="left"/>
      <w:pPr>
        <w:ind w:left="4167" w:firstLine="3807"/>
      </w:pPr>
      <w:rPr>
        <w:rFonts w:ascii="Arial" w:cs="Arial" w:eastAsia="Arial" w:hAnsi="Arial"/>
        <w:vertAlign w:val="baseline"/>
      </w:rPr>
    </w:lvl>
    <w:lvl w:ilvl="5">
      <w:start w:val="1"/>
      <w:numFmt w:val="bullet"/>
      <w:lvlText w:val="▪"/>
      <w:lvlJc w:val="left"/>
      <w:pPr>
        <w:ind w:left="4887" w:firstLine="4527"/>
      </w:pPr>
      <w:rPr>
        <w:rFonts w:ascii="Arial" w:cs="Arial" w:eastAsia="Arial" w:hAnsi="Arial"/>
        <w:vertAlign w:val="baseline"/>
      </w:rPr>
    </w:lvl>
    <w:lvl w:ilvl="6">
      <w:start w:val="1"/>
      <w:numFmt w:val="bullet"/>
      <w:lvlText w:val="●"/>
      <w:lvlJc w:val="left"/>
      <w:pPr>
        <w:ind w:left="5607" w:firstLine="5247"/>
      </w:pPr>
      <w:rPr>
        <w:rFonts w:ascii="Arial" w:cs="Arial" w:eastAsia="Arial" w:hAnsi="Arial"/>
        <w:vertAlign w:val="baseline"/>
      </w:rPr>
    </w:lvl>
    <w:lvl w:ilvl="7">
      <w:start w:val="1"/>
      <w:numFmt w:val="bullet"/>
      <w:lvlText w:val="o"/>
      <w:lvlJc w:val="left"/>
      <w:pPr>
        <w:ind w:left="6327" w:firstLine="5967"/>
      </w:pPr>
      <w:rPr>
        <w:rFonts w:ascii="Arial" w:cs="Arial" w:eastAsia="Arial" w:hAnsi="Arial"/>
        <w:vertAlign w:val="baseline"/>
      </w:rPr>
    </w:lvl>
    <w:lvl w:ilvl="8">
      <w:start w:val="1"/>
      <w:numFmt w:val="bullet"/>
      <w:lvlText w:val="▪"/>
      <w:lvlJc w:val="left"/>
      <w:pPr>
        <w:ind w:left="7047" w:firstLine="6687"/>
      </w:pPr>
      <w:rPr>
        <w:rFonts w:ascii="Arial" w:cs="Arial" w:eastAsia="Arial" w:hAnsi="Arial"/>
        <w:vertAlign w:val="baseline"/>
      </w:rPr>
    </w:lvl>
  </w:abstractNum>
  <w:abstractNum w:abstractNumId="7">
    <w:lvl w:ilvl="0">
      <w:start w:val="11"/>
      <w:numFmt w:val="decimal"/>
      <w:lvlText w:val="%1."/>
      <w:lvlJc w:val="left"/>
      <w:pPr>
        <w:ind w:left="720" w:firstLine="360"/>
      </w:pPr>
      <w:rPr>
        <w:b w:val="1"/>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