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i w:val="0"/>
          <w:sz w:val="26"/>
          <w:szCs w:val="26"/>
          <w:vertAlign w:val="baseline"/>
          <w:rtl w:val="0"/>
        </w:rPr>
        <w:t xml:space="preserve">SCI-999-2012</w:t>
      </w:r>
    </w:p>
    <w:p w:rsidR="00000000" w:rsidDel="00000000" w:rsidP="00000000" w:rsidRDefault="00000000" w:rsidRPr="00000000">
      <w:pPr>
        <w:ind w:left="720" w:hanging="720"/>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ind w:left="720" w:hanging="720"/>
        <w:contextualSpacing w:val="0"/>
        <w:jc w:val="center"/>
      </w:pPr>
      <w:r w:rsidDel="00000000" w:rsidR="00000000" w:rsidRPr="00000000">
        <w:rPr>
          <w:rtl w:val="0"/>
        </w:rPr>
      </w:r>
    </w:p>
    <w:p w:rsidR="00000000" w:rsidDel="00000000" w:rsidP="00000000" w:rsidRDefault="00000000" w:rsidRPr="00000000">
      <w:pPr>
        <w:ind w:left="720" w:hanging="720"/>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1"/>
                <w:sz w:val="24"/>
                <w:szCs w:val="24"/>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Dr. Julio C. Calvo A ,  Rector</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Licda. Guiselle Segnini, Gerente Área Servicios Sociales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Dirección Fiscalización Operativa y Evaluativa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Contraloría General de la República</w:t>
            </w:r>
            <w:r w:rsidDel="00000000" w:rsidR="00000000" w:rsidRPr="00000000">
              <w:rPr>
                <w:rtl w:val="0"/>
              </w:rPr>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Marcel Hernández, Vicerrector de Administración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Ma. Auxiliadora Navarro, Directora Departamento Financiero Contable</w:t>
            </w:r>
          </w:p>
          <w:p w:rsidR="00000000" w:rsidDel="00000000" w:rsidP="00000000" w:rsidRDefault="00000000" w:rsidRPr="00000000">
            <w:pPr>
              <w:tabs>
                <w:tab w:val="right" w:pos="2410"/>
                <w:tab w:val="left" w:pos="2694"/>
              </w:tabs>
              <w:contextualSpacing w:val="0"/>
            </w:pPr>
            <w:r w:rsidDel="00000000" w:rsidR="00000000" w:rsidRPr="00000000">
              <w:rPr>
                <w:rFonts w:ascii="Arial" w:cs="Arial" w:eastAsia="Arial" w:hAnsi="Arial"/>
                <w:sz w:val="22"/>
                <w:szCs w:val="22"/>
                <w:vertAlign w:val="baseline"/>
                <w:rtl w:val="0"/>
              </w:rPr>
              <w:t xml:space="preserve">Dra. Hannia Rodríguez, Directora Departamento Recursos Humanos</w:t>
            </w:r>
            <w:r w:rsidDel="00000000" w:rsidR="00000000" w:rsidRPr="00000000">
              <w:rPr>
                <w:rtl w:val="0"/>
              </w:rPr>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ind w:left="720" w:hanging="720"/>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22"/>
                <w:szCs w:val="22"/>
                <w:vertAlign w:val="baseline"/>
                <w:rtl w:val="0"/>
              </w:rPr>
              <w:t xml:space="preserve">28 de noviembre del 2012</w:t>
            </w:r>
            <w:r w:rsidDel="00000000" w:rsidR="00000000" w:rsidRPr="00000000">
              <w:rPr>
                <w:rtl w:val="0"/>
              </w:rPr>
            </w:r>
          </w:p>
        </w:tc>
      </w:tr>
      <w:tr>
        <w:trPr>
          <w:trHeight w:val="280" w:hRule="atLeast"/>
        </w:trPr>
        <w:tc>
          <w:tcPr>
            <w:gridSpan w:val="2"/>
          </w:tcPr>
          <w:p w:rsidR="00000000" w:rsidDel="00000000" w:rsidP="00000000" w:rsidRDefault="00000000" w:rsidRPr="00000000">
            <w:pPr>
              <w:ind w:left="720" w:hanging="720"/>
              <w:contextualSpacing w:val="0"/>
            </w:pPr>
            <w:r w:rsidDel="00000000" w:rsidR="00000000" w:rsidRPr="00000000">
              <w:rPr>
                <w:rtl w:val="0"/>
              </w:rPr>
            </w:r>
          </w:p>
        </w:tc>
        <w:tc>
          <w:tcPr/>
          <w:p w:rsidR="00000000" w:rsidDel="00000000" w:rsidP="00000000" w:rsidRDefault="00000000" w:rsidRPr="00000000">
            <w:pPr>
              <w:ind w:left="720" w:hanging="720"/>
              <w:contextualSpacing w:val="0"/>
            </w:pPr>
            <w:r w:rsidDel="00000000" w:rsidR="00000000" w:rsidRPr="00000000">
              <w:rPr>
                <w:rtl w:val="0"/>
              </w:rPr>
            </w:r>
          </w:p>
        </w:tc>
      </w:tr>
      <w:tr>
        <w:trPr>
          <w:trHeight w:val="320" w:hRule="atLeast"/>
        </w:trPr>
        <w:tc>
          <w:tcPr/>
          <w:p w:rsidR="00000000" w:rsidDel="00000000" w:rsidP="00000000" w:rsidRDefault="00000000" w:rsidRPr="00000000">
            <w:pPr>
              <w:ind w:left="720" w:hanging="720"/>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tc>
        <w:tc>
          <w:tcPr>
            <w:gridSpan w:val="2"/>
          </w:tcPr>
          <w:p w:rsidR="00000000" w:rsidDel="00000000" w:rsidP="00000000" w:rsidRDefault="00000000" w:rsidRPr="00000000">
            <w:pPr>
              <w:tabs>
                <w:tab w:val="right" w:pos="2410"/>
                <w:tab w:val="left" w:pos="2694"/>
              </w:tabs>
              <w:ind w:left="29" w:firstLine="9"/>
              <w:contextualSpacing w:val="0"/>
              <w:jc w:val="both"/>
            </w:pPr>
            <w:r w:rsidDel="00000000" w:rsidR="00000000" w:rsidRPr="00000000">
              <w:rPr>
                <w:rFonts w:ascii="Arial" w:cs="Arial" w:eastAsia="Arial" w:hAnsi="Arial"/>
                <w:b w:val="1"/>
                <w:sz w:val="22"/>
                <w:szCs w:val="22"/>
                <w:vertAlign w:val="baseline"/>
                <w:rtl w:val="0"/>
              </w:rPr>
              <w:t xml:space="preserve">Sesión Ordinaria No. 2795 Artículo 14, del 28 de noviembre del 2012. Modificación Presupuestaria Extraordinaria No. 5-2012 </w:t>
            </w:r>
            <w:r w:rsidDel="00000000" w:rsidR="00000000" w:rsidRPr="00000000">
              <w:rPr>
                <w:rtl w:val="0"/>
              </w:rPr>
            </w:r>
          </w:p>
          <w:p w:rsidR="00000000" w:rsidDel="00000000" w:rsidP="00000000" w:rsidRDefault="00000000" w:rsidRPr="00000000">
            <w:pPr>
              <w:ind w:left="43" w:firstLine="2.9999999999999982"/>
              <w:contextualSpacing w:val="0"/>
              <w:jc w:val="both"/>
            </w:pPr>
            <w:r w:rsidDel="00000000" w:rsidR="00000000" w:rsidRPr="00000000">
              <w:rPr>
                <w:rtl w:val="0"/>
              </w:rPr>
            </w:r>
          </w:p>
          <w:p w:rsidR="00000000" w:rsidDel="00000000" w:rsidP="00000000" w:rsidRDefault="00000000" w:rsidRPr="00000000">
            <w:pPr>
              <w:tabs>
                <w:tab w:val="right" w:pos="2410"/>
                <w:tab w:val="left" w:pos="2694"/>
              </w:tabs>
              <w:ind w:left="43" w:firstLine="2.9999999999999982"/>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ind w:left="70" w:hanging="10.999999999999996"/>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Ordinaria No. 2499, Artículo 12, del 8 de febrero del 2007, aprobó el Reglamento para la Aplicación de Modificaciones Presupuestarias del Instituto Tecnológico de Costa Rica, y en su Artículo 6, dice:</w:t>
      </w:r>
      <w:r w:rsidDel="00000000" w:rsidR="00000000" w:rsidRPr="00000000">
        <w:rPr>
          <w:rtl w:val="0"/>
        </w:rPr>
      </w:r>
    </w:p>
    <w:p w:rsidR="00000000" w:rsidDel="00000000" w:rsidP="00000000" w:rsidRDefault="00000000" w:rsidRPr="00000000">
      <w:pPr>
        <w:spacing w:after="0" w:before="0" w:line="240" w:lineRule="auto"/>
        <w:ind w:left="502"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“ARTÍCULO 6 </w:t>
      </w:r>
      <w:r w:rsidDel="00000000" w:rsidR="00000000" w:rsidRPr="00000000">
        <w:rPr>
          <w:rtl w:val="0"/>
        </w:rPr>
      </w:r>
    </w:p>
    <w:p w:rsidR="00000000" w:rsidDel="00000000" w:rsidP="00000000" w:rsidRDefault="00000000" w:rsidRPr="00000000">
      <w:pPr>
        <w:spacing w:after="0" w:before="0" w:line="240" w:lineRule="auto"/>
        <w:ind w:left="709" w:firstLine="0"/>
        <w:contextualSpacing w:val="0"/>
        <w:jc w:val="both"/>
      </w:pPr>
      <w:r w:rsidDel="00000000" w:rsidR="00000000" w:rsidRPr="00000000">
        <w:rPr>
          <w:rFonts w:ascii="Arial" w:cs="Arial" w:eastAsia="Arial" w:hAnsi="Arial"/>
          <w:b w:val="0"/>
          <w:i w:val="1"/>
          <w:sz w:val="22"/>
          <w:szCs w:val="22"/>
          <w:vertAlign w:val="baseline"/>
          <w:rtl w:val="0"/>
        </w:rPr>
        <w:t xml:space="preserve">Las solicitudes de modificación al presupuesto que se requieran deben presentarse para su aplicación en el periodo que va de enero hasta la primera semana del mes de setiembre”.</w:t>
      </w:r>
      <w:r w:rsidDel="00000000" w:rsidR="00000000" w:rsidRPr="00000000">
        <w:rPr>
          <w:rtl w:val="0"/>
        </w:rPr>
      </w:r>
    </w:p>
    <w:p w:rsidR="00000000" w:rsidDel="00000000" w:rsidP="00000000" w:rsidRDefault="00000000" w:rsidRPr="00000000">
      <w:pPr>
        <w:spacing w:after="0" w:before="0" w:line="240" w:lineRule="auto"/>
        <w:ind w:left="709"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PAO-OPI-414-2012, del 26 de noviembre de 2012, suscrita por la M.A.U. Tatiana Fernández Martín, Directora de la Oficina de Planificación Institucional, dirigido al Ing. Luis Paulino Méndez Badilla, Rector a.i., en el cual indica que la aplicación de los recursos provenientes de la Modificación Interna No. 683, que integran la Modificación Presupuestaria No. 5-2012, no afectan al Plan Anual Operativo 2012, según la afirmación de los responsables del cumplimiento de sus metas, expresada en dichos documentos, ni tampoco afecta los Planes Tácticos vigentes en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R-1253-2012, del 27 de noviembre de 2012, suscrito por el M.Sc. Luis Paulino Méndez Badilla, Rector a.i., dirigido a la Licda. Bertalía Sánchez, Directora Ejecutiva de la Secretaría del Consejo Institucional, en el cual remite la Modificación Presupuestaria No. 5-2012, por un monto de ¢49.000.000, para dar contenido presupuestario a las partidas de Tiempo Extraordinario y Anualidades.  Esta modificación fue conocida y avalada por el Consejo de Rectoría, en Sesión No. 45-2012, Artículo 2, del 26 de noviembre del 2012.  La misma no afecta los Planes Tácticos vigentes en la Institución.</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Aprobar las modificaciones presupuestarias contenidas en el documento  número 683, del Informe de Modificación Presupuestaria Extraordinaria No. 5-2012, por un monto de ¢49 000 000,00 (cuarenta y nueve millones de colones con 00 céntimos), vía excepción al Reglamento para la Aplicación de Modificaciones Presupuestarias.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25" w:firstLine="0"/>
        <w:contextualSpacing w:val="0"/>
        <w:jc w:val="both"/>
      </w:pPr>
      <w:r w:rsidDel="00000000" w:rsidR="00000000" w:rsidRPr="00000000">
        <w:rPr>
          <w:rFonts w:ascii="Arial" w:cs="Arial" w:eastAsia="Arial" w:hAnsi="Arial"/>
          <w:vertAlign w:val="baseline"/>
          <w:rtl w:val="0"/>
        </w:rPr>
        <w:t xml:space="preserve">El resultado del origen y aplicación de los recursos, a nivel de partida es el siguiente:</w:t>
      </w:r>
      <w:r w:rsidDel="00000000" w:rsidR="00000000" w:rsidRPr="00000000">
        <w:rPr>
          <w:rtl w:val="0"/>
        </w:rPr>
      </w:r>
    </w:p>
    <w:p w:rsidR="00000000" w:rsidDel="00000000" w:rsidP="00000000" w:rsidRDefault="00000000" w:rsidRPr="00000000">
      <w:pPr>
        <w:ind w:left="425" w:firstLine="0"/>
        <w:contextualSpacing w:val="0"/>
        <w:jc w:val="both"/>
      </w:pPr>
      <w:r w:rsidDel="00000000" w:rsidR="00000000" w:rsidRPr="00000000">
        <w:rPr>
          <w:rtl w:val="0"/>
        </w:rPr>
      </w:r>
    </w:p>
    <w:tbl>
      <w:tblPr>
        <w:tblStyle w:val="Table2"/>
        <w:bidi w:val="0"/>
        <w:tblW w:w="7979.999999999999" w:type="dxa"/>
        <w:jc w:val="left"/>
        <w:tblInd w:w="460.0" w:type="dxa"/>
        <w:tblLayout w:type="fixed"/>
        <w:tblLook w:val="0000"/>
      </w:tblPr>
      <w:tblGrid>
        <w:gridCol w:w="3242"/>
        <w:gridCol w:w="1472"/>
        <w:gridCol w:w="1347"/>
        <w:gridCol w:w="1134"/>
        <w:gridCol w:w="785"/>
        <w:tblGridChange w:id="0">
          <w:tblGrid>
            <w:gridCol w:w="3242"/>
            <w:gridCol w:w="1472"/>
            <w:gridCol w:w="1347"/>
            <w:gridCol w:w="1134"/>
            <w:gridCol w:w="785"/>
          </w:tblGrid>
        </w:tblGridChange>
      </w:tblGrid>
      <w:tr>
        <w:trPr>
          <w:trHeight w:val="600" w:hRule="atLeast"/>
        </w:trPr>
        <w:tc>
          <w:tcPr>
            <w:tcBorders>
              <w:top w:color="000000" w:space="0" w:sz="8" w:val="single"/>
              <w:left w:color="000000" w:space="0" w:sz="0" w:val="nil"/>
              <w:bottom w:color="000000" w:space="0" w:sz="8"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CONCEPTO</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APLICACIÓN DE RECURSOS </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ORIGEN DE RECURSOS </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 APLICACIÓN  </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8"/>
                <w:szCs w:val="18"/>
                <w:vertAlign w:val="baseline"/>
                <w:rtl w:val="0"/>
              </w:rPr>
              <w:t xml:space="preserve">% ORIGEN </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8"/>
                <w:szCs w:val="18"/>
                <w:vertAlign w:val="baseline"/>
                <w:rtl w:val="0"/>
              </w:rPr>
              <w:t xml:space="preserve">REMUNERACIONES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0.00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sz w:val="18"/>
                <w:szCs w:val="18"/>
                <w:vertAlign w:val="baseline"/>
                <w:rtl w:val="0"/>
              </w:rPr>
              <w:t xml:space="preserve">0.00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8"/>
                <w:szCs w:val="18"/>
                <w:vertAlign w:val="baseline"/>
                <w:rtl w:val="0"/>
              </w:rPr>
              <w:t xml:space="preserve">0%</w:t>
            </w:r>
            <w:r w:rsidDel="00000000" w:rsidR="00000000" w:rsidRPr="00000000">
              <w:rPr>
                <w:rtl w:val="0"/>
              </w:rPr>
            </w:r>
          </w:p>
        </w:tc>
      </w:tr>
      <w:tr>
        <w:trPr>
          <w:trHeight w:val="1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right w:color="000000" w:space="0" w:sz="0" w:val="nil"/>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tcBorders>
              <w:top w:color="000000" w:space="0" w:sz="8" w:val="single"/>
              <w:left w:color="000000" w:space="0" w:sz="0" w:val="nil"/>
              <w:bottom w:color="000000" w:space="0" w:sz="6" w:val="single"/>
              <w:right w:color="000000" w:space="0" w:sz="0" w:val="nil"/>
            </w:tcBorders>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18"/>
                <w:szCs w:val="18"/>
                <w:vertAlign w:val="baseline"/>
                <w:rtl w:val="0"/>
              </w:rPr>
              <w:t xml:space="preserve">T O T A L   G E N E R A L </w:t>
            </w:r>
            <w:r w:rsidDel="00000000" w:rsidR="00000000" w:rsidRPr="00000000">
              <w:rPr>
                <w:rtl w:val="0"/>
              </w:rPr>
            </w:r>
          </w:p>
        </w:tc>
        <w:tc>
          <w:tcPr>
            <w:tcBorders>
              <w:top w:color="000000" w:space="0" w:sz="8" w:val="single"/>
              <w:left w:color="000000" w:space="0" w:sz="0" w:val="nil"/>
              <w:bottom w:color="000000" w:space="0" w:sz="6"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0.00</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sz w:val="20"/>
                <w:szCs w:val="20"/>
                <w:vertAlign w:val="baseline"/>
                <w:rtl w:val="0"/>
              </w:rPr>
              <w:t xml:space="preserve">0.00</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0%</w:t>
            </w:r>
            <w:r w:rsidDel="00000000" w:rsidR="00000000" w:rsidRPr="00000000">
              <w:rPr>
                <w:rtl w:val="0"/>
              </w:rPr>
            </w:r>
          </w:p>
        </w:tc>
        <w:tc>
          <w:tcPr>
            <w:tcBorders>
              <w:top w:color="000000" w:space="0" w:sz="4" w:val="single"/>
              <w:left w:color="000000" w:space="0" w:sz="0" w:val="nil"/>
              <w:bottom w:color="000000" w:space="0" w:sz="6"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remitir el Informe de Modificación Presupuestaria Extraordinaria No. 5-2012, a la Contraloría General de la República.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que realice las investigaciones preliminares  correspondientes, para determinar si existió algún procedimiento inadecuado que generó la necesidad de esta  Modificación Presupuestaria.</w:t>
      </w:r>
      <w:r w:rsidDel="00000000" w:rsidR="00000000" w:rsidRPr="00000000">
        <w:rPr>
          <w:rtl w:val="0"/>
        </w:rPr>
      </w:r>
    </w:p>
    <w:p w:rsidR="00000000" w:rsidDel="00000000" w:rsidP="00000000" w:rsidRDefault="00000000" w:rsidRPr="00000000">
      <w:pPr>
        <w:tabs>
          <w:tab w:val="left" w:pos="567"/>
        </w:tabs>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tbl>
      <w:tblPr>
        <w:tblStyle w:val="Table3"/>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Oficina de Asesoría Legal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tc>
      </w:tr>
    </w:tbl>
    <w:p w:rsidR="00000000" w:rsidDel="00000000" w:rsidP="00000000" w:rsidRDefault="00000000" w:rsidRPr="00000000">
      <w:pPr>
        <w:ind w:left="720" w:hanging="720"/>
        <w:contextualSpacing w:val="0"/>
      </w:pPr>
      <w:r w:rsidDel="00000000" w:rsidR="00000000" w:rsidRPr="00000000">
        <w:rPr>
          <w:rtl w:val="0"/>
        </w:rPr>
      </w:r>
    </w:p>
    <w:sectPr>
      <w:headerReference r:id="rId5" w:type="default"/>
      <w:headerReference r:id="rId6" w:type="first"/>
      <w:pgSz w:h="15840" w:w="12240"/>
      <w:pgMar w:bottom="851" w:top="1988"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1134"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2795, Artículo 14,  del 28 de noviembre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1134"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502" w:firstLine="142.00000000000003"/>
      </w:pPr>
      <w:rPr>
        <w:b w:val="1"/>
        <w:i w:val="0"/>
        <w:sz w:val="24"/>
        <w:szCs w:val="24"/>
        <w:vertAlign w:val="baseline"/>
      </w:rPr>
    </w:lvl>
    <w:lvl w:ilvl="1">
      <w:start w:val="1"/>
      <w:numFmt w:val="bullet"/>
      <w:lvlText w:val="▪"/>
      <w:lvlJc w:val="left"/>
      <w:pPr>
        <w:ind w:left="2007" w:firstLine="1647"/>
      </w:pPr>
      <w:rPr>
        <w:rFonts w:ascii="Arial" w:cs="Arial" w:eastAsia="Arial" w:hAnsi="Arial"/>
        <w:b w:val="1"/>
        <w:i w:val="0"/>
        <w:vertAlign w:val="baseline"/>
      </w:rPr>
    </w:lvl>
    <w:lvl w:ilvl="2">
      <w:start w:val="1"/>
      <w:numFmt w:val="lowerLetter"/>
      <w:lvlText w:val="%3."/>
      <w:lvlJc w:val="left"/>
      <w:pPr>
        <w:ind w:left="2907" w:firstLine="2547"/>
      </w:pPr>
      <w:rPr>
        <w:b w:val="1"/>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2">
    <w:lvl w:ilvl="0">
      <w:start w:val="1"/>
      <w:numFmt w:val="lowerLetter"/>
      <w:lvlText w:val="%1."/>
      <w:lvlJc w:val="left"/>
      <w:pPr>
        <w:ind w:left="720" w:firstLine="360"/>
      </w:pPr>
      <w:rPr>
        <w:b w:val="1"/>
        <w:i w:val="0"/>
        <w:sz w:val="24"/>
        <w:szCs w:val="24"/>
        <w:vertAlign w:val="baseline"/>
      </w:rPr>
    </w:lvl>
    <w:lvl w:ilvl="1">
      <w:start w:val="1"/>
      <w:numFmt w:val="lowerRoman"/>
      <w:lvlText w:val="%2."/>
      <w:lvlJc w:val="righ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