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SCI-1080-2012</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 Julio C. Calvo A, Rector</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Dra. Claudia Madrizova, Vicerrectora de Vida Estudiantil y Servicios Académicos</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Licda. Diana Segura, Directora del Departamento de Trabajo Social y Salud</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MSc. Marlene Ilama, Directora Centro Académico San José</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Dra. Hannia Rodríguez, Directora Departamento Recursos Humanos</w:t>
            </w:r>
          </w:p>
          <w:p w:rsidR="00000000" w:rsidDel="00000000" w:rsidP="00000000" w:rsidRDefault="00000000" w:rsidRPr="00000000">
            <w:pPr>
              <w:spacing w:after="0" w:before="0" w:line="240" w:lineRule="auto"/>
              <w:ind w:left="45" w:firstLine="0"/>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19 de diciembre del 2012</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2799 Artículo 10, del 19 de diciembre del 2012.   Levantamiento del condicionamiento de las plazas: del inciso b, del Artículo 1 y del inciso b.9 del Artículo 5, de la Sesión Extraordinaria No. 2785, del 28 de setiembre del 2012</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tabs>
          <w:tab w:val="left" w:pos="1346"/>
        </w:tabs>
        <w:ind w:left="1320" w:right="51" w:hanging="1320"/>
        <w:contextualSpacing w:val="0"/>
        <w:jc w:val="both"/>
      </w:pPr>
      <w:r w:rsidDel="00000000" w:rsidR="00000000" w:rsidRPr="00000000">
        <w:rPr>
          <w:rtl w:val="0"/>
        </w:rPr>
      </w:r>
    </w:p>
    <w:p w:rsidR="00000000" w:rsidDel="00000000" w:rsidP="00000000" w:rsidRDefault="00000000" w:rsidRPr="00000000">
      <w:pPr>
        <w:tabs>
          <w:tab w:val="left" w:pos="1346"/>
        </w:tabs>
        <w:ind w:left="1320" w:right="51" w:hanging="132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La Secretaría del Consejo Institucional recibió Oficio R-897-2012, del 10 de setiembre de 2012, suscrito por el Dr. Julio C. Calvo Alvarado, Rector, dirigido a la B.Q. Grettel Castro Portuguez, Coordinadora de la Comisión de Planificación y Administración, en el cual remite para el trámite correspondiente la propuesta de solicitud de plazas nuevas 2013.  Dicha propuesta fue avalada por el Consejo de Rectoría en la Sesión No. 31-2012, Artículo 6 del 20 de agosto de 2012. La justificación para solicitar la creación de la plaza CF2727 de forma indefinida fue la siguiente:</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708" w:firstLine="0"/>
        <w:contextualSpacing w:val="0"/>
        <w:jc w:val="both"/>
      </w:pPr>
      <w:r w:rsidDel="00000000" w:rsidR="00000000" w:rsidRPr="00000000">
        <w:rPr>
          <w:rFonts w:ascii="Arial" w:cs="Arial" w:eastAsia="Arial" w:hAnsi="Arial"/>
          <w:i w:val="1"/>
          <w:sz w:val="22"/>
          <w:szCs w:val="22"/>
          <w:vertAlign w:val="baseline"/>
          <w:rtl w:val="0"/>
        </w:rPr>
        <w:t xml:space="preserve">“La demanda institucional de atención médica y desarrollo de programas mediante los cuales se atienda la salud de la comunidad institucional resultan apremiantes. </w:t>
      </w:r>
      <w:r w:rsidDel="00000000" w:rsidR="00000000" w:rsidRPr="00000000">
        <w:rPr>
          <w:rtl w:val="0"/>
        </w:rPr>
      </w:r>
    </w:p>
    <w:p w:rsidR="00000000" w:rsidDel="00000000" w:rsidP="00000000" w:rsidRDefault="00000000" w:rsidRPr="00000000">
      <w:pPr>
        <w:tabs>
          <w:tab w:val="left" w:pos="426"/>
        </w:tabs>
        <w:spacing w:after="0" w:before="0" w:lineRule="auto"/>
        <w:ind w:left="708" w:firstLine="0"/>
        <w:contextualSpacing w:val="0"/>
        <w:jc w:val="both"/>
      </w:pPr>
      <w:r w:rsidDel="00000000" w:rsidR="00000000" w:rsidRPr="00000000">
        <w:rPr>
          <w:rFonts w:ascii="Arial" w:cs="Arial" w:eastAsia="Arial" w:hAnsi="Arial"/>
          <w:i w:val="1"/>
          <w:sz w:val="22"/>
          <w:szCs w:val="22"/>
          <w:vertAlign w:val="baseline"/>
          <w:rtl w:val="0"/>
        </w:rPr>
        <w:t xml:space="preserve">La Clínica de Salud debe dar atención a distintas poblaciones a nivel institucional (estudiantes, funcionarios/as, personas externas, personal contratado, niños/as del taller infantil) en diferentes ámbitos (que van desde la atención mediante consulta hasta la atención de emergencias sucedidades (sic) en el campus. Lo anterior ha generado una saturación de los servicios y una demanda que se incrementa en el tiempo sobre los mismos. </w:t>
      </w:r>
      <w:r w:rsidDel="00000000" w:rsidR="00000000" w:rsidRPr="00000000">
        <w:rPr>
          <w:rtl w:val="0"/>
        </w:rPr>
      </w:r>
    </w:p>
    <w:p w:rsidR="00000000" w:rsidDel="00000000" w:rsidP="00000000" w:rsidRDefault="00000000" w:rsidRPr="00000000">
      <w:pPr>
        <w:tabs>
          <w:tab w:val="left" w:pos="426"/>
        </w:tabs>
        <w:spacing w:after="0" w:before="0" w:lineRule="auto"/>
        <w:ind w:left="708"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708"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708"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708"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708" w:firstLine="0"/>
        <w:contextualSpacing w:val="0"/>
        <w:jc w:val="both"/>
      </w:pPr>
      <w:r w:rsidDel="00000000" w:rsidR="00000000" w:rsidRPr="00000000">
        <w:rPr>
          <w:rFonts w:ascii="Arial" w:cs="Arial" w:eastAsia="Arial" w:hAnsi="Arial"/>
          <w:i w:val="1"/>
          <w:sz w:val="22"/>
          <w:szCs w:val="22"/>
          <w:vertAlign w:val="baseline"/>
          <w:rtl w:val="0"/>
        </w:rPr>
        <w:t xml:space="preserve">Por otra parte, desde el año 2008 el departamento ofrece el servicio de consulta vespertina, gracias a la sustitución de un médico, que originalmente ocupaba la plaza de dirección y actualmente se encuentra incapacitado. Esto ha generado que el servicio sea requerido y utilizado, en general y especialmente por población estudiantil. En caso de que la persona asignada a la plaza de manera indefinida regrese, la continuidad del servicio se tendría que suspender indefinidamente, afectando no sólo la capacidad del servicio, sino la cobertura de emergencias acontecidas después de las 4:30 p.m. en la institución.</w:t>
      </w:r>
      <w:r w:rsidDel="00000000" w:rsidR="00000000" w:rsidRPr="00000000">
        <w:rPr>
          <w:rtl w:val="0"/>
        </w:rPr>
      </w:r>
    </w:p>
    <w:p w:rsidR="00000000" w:rsidDel="00000000" w:rsidP="00000000" w:rsidRDefault="00000000" w:rsidRPr="00000000">
      <w:pPr>
        <w:tabs>
          <w:tab w:val="left" w:pos="426"/>
        </w:tabs>
        <w:spacing w:after="0" w:before="0" w:lineRule="auto"/>
        <w:ind w:left="708" w:firstLine="0"/>
        <w:contextualSpacing w:val="0"/>
        <w:jc w:val="both"/>
      </w:pPr>
      <w:r w:rsidDel="00000000" w:rsidR="00000000" w:rsidRPr="00000000">
        <w:rPr>
          <w:rFonts w:ascii="Arial" w:cs="Arial" w:eastAsia="Arial" w:hAnsi="Arial"/>
          <w:i w:val="1"/>
          <w:sz w:val="22"/>
          <w:szCs w:val="22"/>
          <w:vertAlign w:val="baseline"/>
          <w:rtl w:val="0"/>
        </w:rPr>
        <w:t xml:space="preserve">Se asignará 50% de la jornada a la atención del área de salud en el Centro Académico San José. Actualmente se cuenta con un medio tiempo para servicios médicos, desde hace ya bastantes años.  La población estudiantil del Centro Académico ha ido en aumento y en este momento supera los 1000 estudiantes en las diferentes carreras, Administración de Empresas, Arquitectura, Bachillerato y Maestría en Computación, Educación Técnica, con horarios de lunes a sábado.  Por otro lado, el total de funcionarios es superior a 60 personas.  Esta es la razón por la cual se requiere ampliar a tiempo completo  la atención médica, para esta comunidad.”</w:t>
      </w:r>
      <w:r w:rsidDel="00000000" w:rsidR="00000000" w:rsidRPr="00000000">
        <w:rPr>
          <w:rtl w:val="0"/>
        </w:rPr>
      </w:r>
    </w:p>
    <w:p w:rsidR="00000000" w:rsidDel="00000000" w:rsidP="00000000" w:rsidRDefault="00000000" w:rsidRPr="00000000">
      <w:pPr>
        <w:tabs>
          <w:tab w:val="left" w:pos="426"/>
        </w:tabs>
        <w:spacing w:after="0" w:before="0" w:lineRule="auto"/>
        <w:ind w:left="708" w:firstLine="0"/>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El Consejo Institucional, en Sesión Extraordinaria No. 2785, Artículo 1, del 28 de setiembre del 2012, </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i w:val="1"/>
          <w:sz w:val="22"/>
          <w:szCs w:val="22"/>
          <w:vertAlign w:val="baseline"/>
          <w:rtl w:val="0"/>
        </w:rPr>
        <w:t xml:space="preserve">Creación de Plazas 2013, Fondos FEES”</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vertAlign w:val="baseline"/>
          <w:rtl w:val="0"/>
        </w:rPr>
        <w:t xml:space="preserve"> en su inciso b, acordó lo siguiente:</w:t>
      </w:r>
      <w:r w:rsidDel="00000000" w:rsidR="00000000" w:rsidRPr="00000000">
        <w:rPr>
          <w:rtl w:val="0"/>
        </w:rPr>
      </w:r>
    </w:p>
    <w:p w:rsidR="00000000" w:rsidDel="00000000" w:rsidP="00000000" w:rsidRDefault="00000000" w:rsidRPr="00000000">
      <w:pPr>
        <w:tabs>
          <w:tab w:val="left" w:pos="426"/>
        </w:tabs>
        <w:spacing w:before="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left="851" w:hanging="425"/>
        <w:contextualSpacing w:val="0"/>
        <w:jc w:val="both"/>
      </w:pPr>
      <w:r w:rsidDel="00000000" w:rsidR="00000000" w:rsidRPr="00000000">
        <w:rPr>
          <w:rFonts w:ascii="Arial" w:cs="Arial" w:eastAsia="Arial" w:hAnsi="Arial"/>
          <w:b w:val="0"/>
          <w:sz w:val="24"/>
          <w:szCs w:val="24"/>
          <w:vertAlign w:val="baseline"/>
          <w:rtl w:val="0"/>
        </w:rPr>
        <w:t xml:space="preserve">“</w:t>
      </w:r>
      <w:r w:rsidDel="00000000" w:rsidR="00000000" w:rsidRPr="00000000">
        <w:rPr>
          <w:rFonts w:ascii="Arial" w:cs="Arial" w:eastAsia="Arial" w:hAnsi="Arial"/>
          <w:b w:val="0"/>
          <w:i w:val="1"/>
          <w:sz w:val="22"/>
          <w:szCs w:val="22"/>
          <w:vertAlign w:val="baseline"/>
          <w:rtl w:val="0"/>
        </w:rPr>
        <w:t xml:space="preserve">b.</w:t>
      </w:r>
      <w:r w:rsidDel="00000000" w:rsidR="00000000" w:rsidRPr="00000000">
        <w:rPr>
          <w:rFonts w:ascii="Arial" w:cs="Arial" w:eastAsia="Arial" w:hAnsi="Arial"/>
          <w:b w:val="0"/>
          <w:sz w:val="24"/>
          <w:szCs w:val="24"/>
          <w:vertAlign w:val="baseline"/>
          <w:rtl w:val="0"/>
        </w:rPr>
        <w:t xml:space="preserve"> </w:t>
      </w:r>
      <w:r w:rsidDel="00000000" w:rsidR="00000000" w:rsidRPr="00000000">
        <w:rPr>
          <w:rFonts w:ascii="Arial" w:cs="Arial" w:eastAsia="Arial" w:hAnsi="Arial"/>
          <w:b w:val="0"/>
          <w:i w:val="1"/>
          <w:sz w:val="22"/>
          <w:szCs w:val="22"/>
          <w:vertAlign w:val="baseline"/>
          <w:rtl w:val="0"/>
        </w:rPr>
        <w:t xml:space="preserve">Se condiciona la plaza CF2727 por todo el año, hasta que el Consejo Institucional, revise la información solicitada sobre la atención de citas por los médicos del Departamento de Trabajo Social y Salud”. </w:t>
      </w:r>
      <w:r w:rsidDel="00000000" w:rsidR="00000000" w:rsidRPr="00000000">
        <w:rPr>
          <w:rtl w:val="0"/>
        </w:rPr>
      </w:r>
    </w:p>
    <w:p w:rsidR="00000000" w:rsidDel="00000000" w:rsidP="00000000" w:rsidRDefault="00000000" w:rsidRPr="00000000">
      <w:pPr>
        <w:tabs>
          <w:tab w:val="left" w:pos="426"/>
        </w:tabs>
        <w:spacing w:after="0" w:lineRule="auto"/>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El Consejo Institucional, en Sesión Extraordinaria No. 2785, Artículo 5, del 28 de setiembre del 2012, </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i w:val="1"/>
          <w:sz w:val="22"/>
          <w:szCs w:val="22"/>
          <w:vertAlign w:val="baseline"/>
          <w:rtl w:val="0"/>
        </w:rPr>
        <w:t xml:space="preserve">Creación de Plazas 2013, Fondos FEES”</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vertAlign w:val="baseline"/>
          <w:rtl w:val="0"/>
        </w:rPr>
        <w:t xml:space="preserve"> en su inciso b.9, acordó lo siguiente:</w:t>
      </w:r>
      <w:r w:rsidDel="00000000" w:rsidR="00000000" w:rsidRPr="00000000">
        <w:rPr>
          <w:rtl w:val="0"/>
        </w:rPr>
      </w:r>
    </w:p>
    <w:p w:rsidR="00000000" w:rsidDel="00000000" w:rsidP="00000000" w:rsidRDefault="00000000" w:rsidRPr="00000000">
      <w:pPr>
        <w:tabs>
          <w:tab w:val="left" w:pos="426"/>
        </w:tabs>
        <w:spacing w:before="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left="851" w:hanging="425"/>
        <w:contextualSpacing w:val="0"/>
        <w:jc w:val="both"/>
      </w:pPr>
      <w:r w:rsidDel="00000000" w:rsidR="00000000" w:rsidRPr="00000000">
        <w:rPr>
          <w:rFonts w:ascii="Arial" w:cs="Arial" w:eastAsia="Arial" w:hAnsi="Arial"/>
          <w:b w:val="0"/>
          <w:sz w:val="24"/>
          <w:szCs w:val="24"/>
          <w:vertAlign w:val="baseline"/>
          <w:rtl w:val="0"/>
        </w:rPr>
        <w:t xml:space="preserve">“</w:t>
      </w:r>
      <w:r w:rsidDel="00000000" w:rsidR="00000000" w:rsidRPr="00000000">
        <w:rPr>
          <w:rFonts w:ascii="Arial" w:cs="Arial" w:eastAsia="Arial" w:hAnsi="Arial"/>
          <w:b w:val="0"/>
          <w:i w:val="1"/>
          <w:sz w:val="22"/>
          <w:szCs w:val="22"/>
          <w:vertAlign w:val="baseline"/>
          <w:rtl w:val="0"/>
        </w:rPr>
        <w:t xml:space="preserve">b.9 Condicionar la plaza CF2388 en el II semestre, de 2013, hasta que el Consejo Institucional revise la información solicitada sobre la atención de citas por los médicos del Departamento de Trabajo Social y Salud.” </w:t>
      </w:r>
      <w:r w:rsidDel="00000000" w:rsidR="00000000" w:rsidRPr="00000000">
        <w:rPr>
          <w:rtl w:val="0"/>
        </w:rPr>
      </w:r>
    </w:p>
    <w:p w:rsidR="00000000" w:rsidDel="00000000" w:rsidP="00000000" w:rsidRDefault="00000000" w:rsidRPr="00000000">
      <w:pPr>
        <w:spacing w:after="0" w:before="0" w:line="24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426"/>
        </w:tabs>
        <w:spacing w:after="0" w:lineRule="auto"/>
        <w:ind w:left="426" w:hanging="426"/>
        <w:contextualSpacing w:val="1"/>
        <w:jc w:val="both"/>
        <w:rPr/>
      </w:pPr>
      <w:r w:rsidDel="00000000" w:rsidR="00000000" w:rsidRPr="00000000">
        <w:rPr>
          <w:rFonts w:ascii="Arial" w:cs="Arial" w:eastAsia="Arial" w:hAnsi="Arial"/>
          <w:vertAlign w:val="baseline"/>
          <w:rtl w:val="0"/>
        </w:rPr>
        <w:t xml:space="preserve">En reunión de la Comisión de Planificación y Administración No. 503-2012, del 13 de diciembre de 2012, se analizan las justificaciones recibidas y considerando que en el Informe de la Auditoría Externa Operativa 2012 se solicitó incluir la revisión de los procesos de la Clínica de Salud, con el fin de tener un análisis de los servicios que brinda (atención de solicitudes de citas en los servicios de enfermería, medicina primaria, odontología, psicología clínica, atención de emergencias y programas preventivos),  así como el control de citas, asignación de tiempos a las diversas funciones y atención de usuarios, entre otros; además se considera conveniente que las plazas solicitadas se puedan usar durante el año 2013 de modo que su uso sea evaluado en la Auditoría Externa y se pueda tomar decisiones con los resultados de la misma.  Se dispone elevar la propuesta de liberación de las plazas, al pleno del Consejo Institucional. </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before="0" w:lineRule="auto"/>
        <w:ind w:left="426" w:firstLine="0"/>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color w:val="000000"/>
          <w:sz w:val="24"/>
          <w:szCs w:val="24"/>
          <w:vertAlign w:val="baseline"/>
          <w:rtl w:val="0"/>
        </w:rPr>
        <w:t xml:space="preserve">ACUERDA: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426" w:hanging="426"/>
        <w:jc w:val="both"/>
        <w:rPr>
          <w:rFonts w:ascii="Arial" w:cs="Arial" w:eastAsia="Arial" w:hAnsi="Arial"/>
          <w:color w:val="000000"/>
          <w:sz w:val="24"/>
          <w:szCs w:val="24"/>
        </w:rPr>
      </w:pPr>
      <w:r w:rsidDel="00000000" w:rsidR="00000000" w:rsidRPr="00000000">
        <w:rPr>
          <w:rFonts w:ascii="Arial" w:cs="Arial" w:eastAsia="Arial" w:hAnsi="Arial"/>
          <w:b w:val="0"/>
          <w:color w:val="000000"/>
          <w:sz w:val="24"/>
          <w:szCs w:val="24"/>
          <w:vertAlign w:val="baseline"/>
          <w:rtl w:val="0"/>
        </w:rPr>
        <w:t xml:space="preserve">Levantar el condicionamiento de las siguientes plazas CF2727 y CF2388, para el año 2013, para que se lea de la siguiente manera:</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tbl>
      <w:tblPr>
        <w:tblStyle w:val="Table2"/>
        <w:bidi w:val="0"/>
        <w:tblW w:w="10135.000000000002" w:type="dxa"/>
        <w:jc w:val="left"/>
        <w:tblInd w:w="-70.0" w:type="dxa"/>
        <w:tblLayout w:type="fixed"/>
        <w:tblLook w:val="0000"/>
      </w:tblPr>
      <w:tblGrid>
        <w:gridCol w:w="335"/>
        <w:gridCol w:w="335"/>
        <w:gridCol w:w="866"/>
        <w:gridCol w:w="1511"/>
        <w:gridCol w:w="1701"/>
        <w:gridCol w:w="992"/>
        <w:gridCol w:w="1134"/>
        <w:gridCol w:w="567"/>
        <w:gridCol w:w="567"/>
        <w:gridCol w:w="567"/>
        <w:gridCol w:w="567"/>
        <w:gridCol w:w="993"/>
        <w:tblGridChange w:id="0">
          <w:tblGrid>
            <w:gridCol w:w="335"/>
            <w:gridCol w:w="335"/>
            <w:gridCol w:w="866"/>
            <w:gridCol w:w="1511"/>
            <w:gridCol w:w="1701"/>
            <w:gridCol w:w="992"/>
            <w:gridCol w:w="1134"/>
            <w:gridCol w:w="567"/>
            <w:gridCol w:w="567"/>
            <w:gridCol w:w="567"/>
            <w:gridCol w:w="567"/>
            <w:gridCol w:w="993"/>
          </w:tblGrid>
        </w:tblGridChange>
      </w:tblGrid>
      <w:tr>
        <w:trPr>
          <w:trHeight w:val="1240" w:hRule="atLeast"/>
        </w:trPr>
        <w:tc>
          <w:tcPr>
            <w:tcBorders>
              <w:top w:color="000000" w:space="0" w:sz="4" w:val="single"/>
              <w:left w:color="000000" w:space="0" w:sz="4" w:val="single"/>
              <w:bottom w:color="000000" w:space="0" w:sz="4" w:val="single"/>
              <w:right w:color="000000" w:space="0" w:sz="4" w:val="single"/>
            </w:tcBorders>
            <w:shd w:fill="f2f2f2"/>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6"/>
                <w:szCs w:val="16"/>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6"/>
                <w:szCs w:val="16"/>
                <w:vertAlign w:val="baseline"/>
                <w:rtl w:val="0"/>
              </w:rPr>
              <w:t xml:space="preserve">Programa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2f2f2"/>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6"/>
                <w:szCs w:val="16"/>
                <w:vertAlign w:val="baseline"/>
                <w:rtl w:val="0"/>
              </w:rPr>
              <w:t xml:space="preserve">Número de </w:t>
              <w:br w:type="textWrapping"/>
              <w:t xml:space="preserve">Plaza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2f2f2"/>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6"/>
                <w:szCs w:val="16"/>
                <w:vertAlign w:val="baseline"/>
                <w:rtl w:val="0"/>
              </w:rPr>
              <w:t xml:space="preserve">Puesto</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2f2f2"/>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6"/>
                <w:szCs w:val="16"/>
                <w:vertAlign w:val="baseline"/>
                <w:rtl w:val="0"/>
              </w:rPr>
              <w:t xml:space="preserve">Adscrita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6d9f1"/>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6"/>
                <w:szCs w:val="16"/>
                <w:vertAlign w:val="baseline"/>
                <w:rtl w:val="0"/>
              </w:rPr>
              <w:t xml:space="preserve">Condición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c6d9f1"/>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6"/>
                <w:szCs w:val="16"/>
                <w:vertAlign w:val="baseline"/>
                <w:rtl w:val="0"/>
              </w:rPr>
              <w:t xml:space="preserve">Renovación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c6d9f1"/>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6"/>
                <w:szCs w:val="16"/>
                <w:vertAlign w:val="baseline"/>
                <w:rtl w:val="0"/>
              </w:rPr>
              <w:t xml:space="preserve">Categoría</w:t>
              <w:br w:type="textWrapping"/>
              <w:t xml:space="preserve">Aprobada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c6d9f1"/>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6"/>
                <w:szCs w:val="16"/>
                <w:vertAlign w:val="baseline"/>
                <w:rtl w:val="0"/>
              </w:rPr>
              <w:t xml:space="preserve">Período </w:t>
              <w:br w:type="textWrapping"/>
              <w:t xml:space="preserve">Aprobado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c6d9f1"/>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6"/>
                <w:szCs w:val="16"/>
                <w:vertAlign w:val="baseline"/>
                <w:rtl w:val="0"/>
              </w:rPr>
              <w:t xml:space="preserve">% Jornada</w:t>
              <w:br w:type="textWrapping"/>
              <w:t xml:space="preserve">Aprobada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c6d9f1"/>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6"/>
                <w:szCs w:val="16"/>
                <w:vertAlign w:val="baseline"/>
                <w:rtl w:val="0"/>
              </w:rPr>
              <w:t xml:space="preserve">TCE</w:t>
              <w:br w:type="textWrapping"/>
              <w:t xml:space="preserve">Aprobado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c6d9f1"/>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6"/>
                <w:szCs w:val="16"/>
                <w:vertAlign w:val="baseline"/>
                <w:rtl w:val="0"/>
              </w:rPr>
              <w:t xml:space="preserve">Recodif.</w:t>
              <w:br w:type="textWrapping"/>
              <w:t xml:space="preserve">Num. Plaza</w:t>
            </w: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vertAlign w:val="baseline"/>
                <w:rtl w:val="0"/>
              </w:rPr>
              <w:t xml:space="preserve">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CF2727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6"/>
                <w:szCs w:val="16"/>
                <w:vertAlign w:val="baseline"/>
                <w:rtl w:val="0"/>
              </w:rPr>
              <w:t xml:space="preserve">Profesional en Salud</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6"/>
                <w:szCs w:val="16"/>
                <w:vertAlign w:val="baseline"/>
                <w:rtl w:val="0"/>
              </w:rPr>
              <w:t xml:space="preserve">Departamento de Trabajo Social y Salud</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6"/>
                <w:szCs w:val="16"/>
                <w:vertAlign w:val="baseline"/>
                <w:rtl w:val="0"/>
              </w:rPr>
              <w:t xml:space="preserve">Aprobada </w:t>
              <w:br w:type="textWrapping"/>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ff0000"/>
                <w:sz w:val="16"/>
                <w:szCs w:val="16"/>
                <w:vertAlign w:val="baseline"/>
                <w:rtl w:val="0"/>
              </w:rPr>
              <w:t xml:space="preserve">CT0136</w:t>
            </w:r>
            <w:r w:rsidDel="00000000" w:rsidR="00000000" w:rsidRPr="00000000">
              <w:rPr>
                <w:rtl w:val="0"/>
              </w:rPr>
            </w:r>
          </w:p>
        </w:tc>
      </w:tr>
    </w:tbl>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before="0" w:lineRule="auto"/>
        <w:contextualSpacing w:val="0"/>
        <w:jc w:val="both"/>
      </w:pPr>
      <w:r w:rsidDel="00000000" w:rsidR="00000000" w:rsidRPr="00000000">
        <w:rPr>
          <w:rtl w:val="0"/>
        </w:rPr>
      </w:r>
    </w:p>
    <w:tbl>
      <w:tblPr>
        <w:tblStyle w:val="Table3"/>
        <w:bidi w:val="0"/>
        <w:tblW w:w="10632.0" w:type="dxa"/>
        <w:jc w:val="left"/>
        <w:tblInd w:w="-531.0" w:type="dxa"/>
        <w:tblLayout w:type="fixed"/>
        <w:tblLook w:val="0000"/>
      </w:tblPr>
      <w:tblGrid>
        <w:gridCol w:w="501"/>
        <w:gridCol w:w="335"/>
        <w:gridCol w:w="791"/>
        <w:gridCol w:w="1918"/>
        <w:gridCol w:w="1502"/>
        <w:gridCol w:w="1136"/>
        <w:gridCol w:w="1047"/>
        <w:gridCol w:w="709"/>
        <w:gridCol w:w="533"/>
        <w:gridCol w:w="601"/>
        <w:gridCol w:w="567"/>
        <w:gridCol w:w="992"/>
        <w:tblGridChange w:id="0">
          <w:tblGrid>
            <w:gridCol w:w="501"/>
            <w:gridCol w:w="335"/>
            <w:gridCol w:w="791"/>
            <w:gridCol w:w="1918"/>
            <w:gridCol w:w="1502"/>
            <w:gridCol w:w="1136"/>
            <w:gridCol w:w="1047"/>
            <w:gridCol w:w="709"/>
            <w:gridCol w:w="533"/>
            <w:gridCol w:w="601"/>
            <w:gridCol w:w="567"/>
            <w:gridCol w:w="992"/>
          </w:tblGrid>
        </w:tblGridChange>
      </w:tblGrid>
      <w:tr>
        <w:trPr>
          <w:trHeight w:val="1240" w:hRule="atLeast"/>
        </w:trPr>
        <w:tc>
          <w:tcPr>
            <w:tcBorders>
              <w:top w:color="000000" w:space="0" w:sz="4" w:val="single"/>
              <w:left w:color="000000" w:space="0" w:sz="4" w:val="single"/>
              <w:bottom w:color="000000" w:space="0" w:sz="4" w:val="single"/>
              <w:right w:color="000000" w:space="0" w:sz="4" w:val="single"/>
            </w:tcBorders>
            <w:shd w:fill="f2f2f2"/>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6"/>
                <w:szCs w:val="16"/>
                <w:vertAlign w:val="baseline"/>
                <w:rtl w:val="0"/>
              </w:rPr>
              <w:t xml:space="preserv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2f2f2"/>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6"/>
                <w:szCs w:val="16"/>
                <w:vertAlign w:val="baseline"/>
                <w:rtl w:val="0"/>
              </w:rPr>
              <w:t xml:space="preserve">Programa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2f2f2"/>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6"/>
                <w:szCs w:val="16"/>
                <w:vertAlign w:val="baseline"/>
                <w:rtl w:val="0"/>
              </w:rPr>
              <w:t xml:space="preserve">Número de </w:t>
              <w:br w:type="textWrapping"/>
              <w:t xml:space="preserve">Plaza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2f2f2"/>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6"/>
                <w:szCs w:val="16"/>
                <w:vertAlign w:val="baseline"/>
                <w:rtl w:val="0"/>
              </w:rPr>
              <w:t xml:space="preserve">Puesto</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2f2f2"/>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6"/>
                <w:szCs w:val="16"/>
                <w:vertAlign w:val="baseline"/>
                <w:rtl w:val="0"/>
              </w:rPr>
              <w:t xml:space="preserve">Adscrita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6d9f1"/>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6"/>
                <w:szCs w:val="16"/>
                <w:vertAlign w:val="baseline"/>
                <w:rtl w:val="0"/>
              </w:rPr>
              <w:t xml:space="preserve">Condición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c6d9f1"/>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6"/>
                <w:szCs w:val="16"/>
                <w:vertAlign w:val="baseline"/>
                <w:rtl w:val="0"/>
              </w:rPr>
              <w:t xml:space="preserve">Renovación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c6d9f1"/>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6"/>
                <w:szCs w:val="16"/>
                <w:vertAlign w:val="baseline"/>
                <w:rtl w:val="0"/>
              </w:rPr>
              <w:t xml:space="preserve">Categoría</w:t>
              <w:br w:type="textWrapping"/>
              <w:t xml:space="preserve">Aprobada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c6d9f1"/>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6"/>
                <w:szCs w:val="16"/>
                <w:vertAlign w:val="baseline"/>
                <w:rtl w:val="0"/>
              </w:rPr>
              <w:t xml:space="preserve">Período </w:t>
              <w:br w:type="textWrapping"/>
              <w:t xml:space="preserve">Aprobado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c6d9f1"/>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6"/>
                <w:szCs w:val="16"/>
                <w:vertAlign w:val="baseline"/>
                <w:rtl w:val="0"/>
              </w:rPr>
              <w:t xml:space="preserve">% Jornada</w:t>
              <w:br w:type="textWrapping"/>
              <w:t xml:space="preserve">Aprobada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c6d9f1"/>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6"/>
                <w:szCs w:val="16"/>
                <w:vertAlign w:val="baseline"/>
                <w:rtl w:val="0"/>
              </w:rPr>
              <w:t xml:space="preserve">TCE</w:t>
              <w:br w:type="textWrapping"/>
              <w:t xml:space="preserve">Aprobado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c6d9f1"/>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6"/>
                <w:szCs w:val="16"/>
                <w:vertAlign w:val="baseline"/>
                <w:rtl w:val="0"/>
              </w:rPr>
              <w:t xml:space="preserve">Recodif.</w:t>
              <w:br w:type="textWrapping"/>
              <w:t xml:space="preserve">Num. Plaza</w:t>
            </w:r>
            <w:r w:rsidDel="00000000" w:rsidR="00000000" w:rsidRPr="00000000">
              <w:rPr>
                <w:rtl w:val="0"/>
              </w:rPr>
            </w:r>
          </w:p>
        </w:tc>
      </w:tr>
      <w:tr>
        <w:trPr>
          <w:trHeight w:val="820" w:hRule="atLeast"/>
        </w:trPr>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vertAlign w:val="baseline"/>
                <w:rtl w:val="0"/>
              </w:rPr>
              <w:t xml:space="preserve">93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CF2388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6"/>
                <w:szCs w:val="16"/>
                <w:vertAlign w:val="baseline"/>
                <w:rtl w:val="0"/>
              </w:rPr>
              <w:t xml:space="preserve">Profesional en Salud M-1</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6"/>
                <w:szCs w:val="16"/>
                <w:vertAlign w:val="baseline"/>
                <w:rtl w:val="0"/>
              </w:rPr>
              <w:t xml:space="preserve">Departamento de Trabajo Social y Salud*</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6"/>
                <w:szCs w:val="16"/>
                <w:vertAlign w:val="baseline"/>
                <w:rtl w:val="0"/>
              </w:rPr>
              <w:t xml:space="preserve">Aprobada </w:t>
              <w:br w:type="textWrapping"/>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0,50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CF2388</w:t>
            </w:r>
            <w:r w:rsidDel="00000000" w:rsidR="00000000" w:rsidRPr="00000000">
              <w:rPr>
                <w:rtl w:val="0"/>
              </w:rPr>
            </w:r>
          </w:p>
        </w:tc>
      </w:tr>
    </w:tbl>
    <w:p w:rsidR="00000000" w:rsidDel="00000000" w:rsidP="00000000" w:rsidRDefault="00000000" w:rsidRPr="00000000">
      <w:pPr>
        <w:spacing w:after="0" w:lineRule="auto"/>
        <w:contextualSpacing w:val="0"/>
        <w:jc w:val="both"/>
      </w:pPr>
      <w:r w:rsidDel="00000000" w:rsidR="00000000" w:rsidRPr="00000000">
        <w:rPr>
          <w:rFonts w:ascii="Arial" w:cs="Arial" w:eastAsia="Arial" w:hAnsi="Arial"/>
          <w:vertAlign w:val="baseline"/>
          <w:rtl w:val="0"/>
        </w:rPr>
        <w:t xml:space="preserve">* Para ser usada en el Centro Académico de San José.</w:t>
      </w:r>
      <w:r w:rsidDel="00000000" w:rsidR="00000000" w:rsidRPr="00000000">
        <w:rPr>
          <w:rtl w:val="0"/>
        </w:rPr>
      </w:r>
    </w:p>
    <w:p w:rsidR="00000000" w:rsidDel="00000000" w:rsidP="00000000" w:rsidRDefault="00000000" w:rsidRPr="00000000">
      <w:pPr>
        <w:spacing w:before="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426" w:hanging="426"/>
        <w:jc w:val="both"/>
        <w:rPr>
          <w:rFonts w:ascii="Arial" w:cs="Arial" w:eastAsia="Arial" w:hAnsi="Arial"/>
          <w:color w:val="000000"/>
          <w:sz w:val="24"/>
          <w:szCs w:val="24"/>
        </w:rPr>
      </w:pPr>
      <w:r w:rsidDel="00000000" w:rsidR="00000000" w:rsidRPr="00000000">
        <w:rPr>
          <w:rFonts w:ascii="Arial" w:cs="Arial" w:eastAsia="Arial" w:hAnsi="Arial"/>
          <w:b w:val="0"/>
          <w:color w:val="000000"/>
          <w:sz w:val="24"/>
          <w:szCs w:val="24"/>
          <w:vertAlign w:val="baseline"/>
          <w:rtl w:val="0"/>
        </w:rPr>
        <w:t xml:space="preserve">Recordar a la Administración que la modificación de cualquiera de las condiciones con las que se renuevan las plazas en este acuerdo, sólo puede hacerse por parte del Consejo Institucional.</w:t>
      </w:r>
    </w:p>
    <w:p w:rsidR="00000000" w:rsidDel="00000000" w:rsidP="00000000" w:rsidRDefault="00000000" w:rsidRPr="00000000">
      <w:pPr>
        <w:ind w:left="-296"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426" w:hanging="426"/>
        <w:jc w:val="both"/>
        <w:rPr>
          <w:rFonts w:ascii="Arial" w:cs="Arial" w:eastAsia="Arial" w:hAnsi="Arial"/>
          <w:color w:val="000000"/>
          <w:sz w:val="24"/>
          <w:szCs w:val="24"/>
        </w:rPr>
      </w:pPr>
      <w:r w:rsidDel="00000000" w:rsidR="00000000" w:rsidRPr="00000000">
        <w:rPr>
          <w:rFonts w:ascii="Arial" w:cs="Arial" w:eastAsia="Arial" w:hAnsi="Arial"/>
          <w:b w:val="0"/>
          <w:color w:val="000000"/>
          <w:sz w:val="24"/>
          <w:szCs w:val="24"/>
          <w:vertAlign w:val="baseline"/>
          <w:rtl w:val="0"/>
        </w:rPr>
        <w:t xml:space="preserve">Comunicar. </w:t>
      </w:r>
      <w:r w:rsidDel="00000000" w:rsidR="00000000" w:rsidRPr="00000000">
        <w:rPr>
          <w:rFonts w:ascii="Arial" w:cs="Arial" w:eastAsia="Arial" w:hAnsi="Arial"/>
          <w:b w:val="1"/>
          <w:color w:val="000000"/>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tbl>
      <w:tblPr>
        <w:tblStyle w:val="Table4"/>
        <w:bidi w:val="0"/>
        <w:tblW w:w="9356.0" w:type="dxa"/>
        <w:jc w:val="left"/>
        <w:tblInd w:w="-108.0" w:type="dxa"/>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 Docencia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Asesoría Legal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Ingeniería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 </w:t>
            </w:r>
            <w:r w:rsidDel="00000000" w:rsidR="00000000" w:rsidRPr="00000000">
              <w:rPr>
                <w:rtl w:val="0"/>
              </w:rPr>
            </w:r>
          </w:p>
        </w:tc>
        <w:tc>
          <w:tcPr/>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2799, Artículo 10,  del 19 de diciembre del 2012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s>
</file>