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SCI-762-2013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vertAlign w:val="baseline"/>
          <w:rtl w:val="0"/>
        </w:rPr>
        <w:tab/>
        <w:tab/>
        <w:tab/>
        <w:tab/>
        <w:tab/>
        <w:tab/>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Xinia Artavia, Directora del Departamento Vida Estudiantil y Servicios Académicos,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Alexander Valerín Castro, Representante Administrativo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setiembre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2836 Artículo 7, del 11 de setiembre de 2013.  Designación de un representante del Consejo Institucional para que participe en el acto de graduación No. 227, por celebrarse en la Sede Regional San Carlos, el 17 de octubre de 2013, en el Centro de Transferencia Tecnológica y Educación Continua</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DEVESA-598-2013,  con fecha de recibido 04 de setiembre del 2013, suscrito por la Licda. Xinia Artavia, Directora del Departamento Vida Estudiantil y Servicios Académicos, Sede Regional San Carlos, dirigido al Dr. Julio C. Calvo, Presidente del Consejo Institucional, en el cual solicita la designación de un representante del Consejo Institucional, para que participe en el Acto de Graduación No. 227 de la Sede Regional San Carlos, que se llevará a cabo el 17 de octubre del 2013, a las 3:00 p.m., en el Centro de Transferencia Tecnológica y Educación Continúa.  </w:t>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tabs>
          <w:tab w:val="left" w:pos="6720"/>
        </w:tabs>
        <w:ind w:left="426" w:firstLine="0"/>
        <w:contextualSpacing w:val="0"/>
        <w:jc w:val="both"/>
      </w:pPr>
      <w:r w:rsidDel="00000000" w:rsidR="00000000" w:rsidRPr="00000000">
        <w:rPr>
          <w:rFonts w:ascii="Arial" w:cs="Arial" w:eastAsia="Arial" w:hAnsi="Arial"/>
          <w:vertAlign w:val="baseline"/>
          <w:rtl w:val="0"/>
        </w:rPr>
        <w:t xml:space="preserve">Por tal razón, se solicita el nombramiento de un(a) representante del Consejo Institucional, para que  participe en dicho acto.   </w:t>
      </w:r>
      <w:r w:rsidDel="00000000" w:rsidR="00000000" w:rsidRPr="00000000">
        <w:rPr>
          <w:rtl w:val="0"/>
        </w:rPr>
      </w:r>
    </w:p>
    <w:p w:rsidR="00000000" w:rsidDel="00000000" w:rsidP="00000000" w:rsidRDefault="00000000" w:rsidRPr="00000000">
      <w:pPr>
        <w:tabs>
          <w:tab w:val="left" w:pos="1342"/>
        </w:tabs>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tabs>
          <w:tab w:val="left" w:pos="1342"/>
        </w:tabs>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000000"/>
          <w:vertAlign w:val="baseline"/>
          <w:rtl w:val="0"/>
        </w:rPr>
        <w:t xml:space="preserve">SE ACUERDA: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1"/>
          <w:numId w:val="2"/>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 Alexander Valerín Castro, como representante del Consejo Institucional,  para que participe en el Acto de Graduación Ordinario No. 224, por celebrarse el jueves 17 de octubre de 2013, a las 3:00 pm. en el Centro de Transferencia Tecnológica y Educación Continua, Sede Regional San Carlos.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1"/>
          <w:numId w:val="2"/>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Graduación – No 224 – San Carlos</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2836, Artículo 7, del  11de setiembre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