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SCI-1066-2013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M.Sc. Ileana Moreira. Directora de la Escuela de Biología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vertAlign w:val="baseline"/>
                <w:rtl w:val="0"/>
              </w:rPr>
              <w:t xml:space="preserve">Lic. Florencio Prendas, Director Departamento de Servicios Generales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20 de noviembre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2848 Artículo 7, del 20 de noviembre de 2013.  Autorización para que los vehículos institucionales placas 265-224 y 265-211, salgan del país hacia la Universidad de León-Nicaragua, a trasladar a los investigadores:  Dagoberto Arias, Marvin Castillo, Ileana Moreira y Elizabeth Arnáez, quienes harán una visita científica en el Proyecto </w:t>
            </w:r>
            <w:r w:rsidDel="00000000" w:rsidR="00000000" w:rsidRPr="00000000">
              <w:rPr>
                <w:rFonts w:ascii="Arial" w:cs="Arial" w:eastAsia="Arial" w:hAnsi="Arial"/>
                <w:b w:val="1"/>
                <w:i w:val="1"/>
                <w:sz w:val="22"/>
                <w:szCs w:val="22"/>
                <w:vertAlign w:val="baseline"/>
                <w:rtl w:val="0"/>
              </w:rPr>
              <w:t xml:space="preserve">“Generación de información técnico-científica para el desarrollo del cultivo de Jatropha curcas (Tempate) en Costa Rica, para su uso como fuente de energía alternativa y mitigación del cambio climático”,</w:t>
            </w:r>
            <w:r w:rsidDel="00000000" w:rsidR="00000000" w:rsidRPr="00000000">
              <w:rPr>
                <w:rFonts w:ascii="Arial" w:cs="Arial" w:eastAsia="Arial" w:hAnsi="Arial"/>
                <w:b w:val="1"/>
                <w:sz w:val="22"/>
                <w:szCs w:val="22"/>
                <w:vertAlign w:val="baseline"/>
                <w:rtl w:val="0"/>
              </w:rPr>
              <w:t xml:space="preserve"> del 8 al 11 de diciembre de 2013</w:t>
            </w:r>
            <w:r w:rsidDel="00000000" w:rsidR="00000000" w:rsidRPr="00000000">
              <w:rPr>
                <w:rtl w:val="0"/>
              </w:rPr>
            </w:r>
          </w:p>
          <w:p w:rsidR="00000000" w:rsidDel="00000000" w:rsidP="00000000" w:rsidRDefault="00000000" w:rsidRPr="00000000">
            <w:pPr>
              <w:tabs>
                <w:tab w:val="left" w:pos="0"/>
                <w:tab w:val="left" w:pos="7189"/>
              </w:tabs>
              <w:ind w:firstLine="34"/>
              <w:contextualSpacing w:val="0"/>
              <w:jc w:val="both"/>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memorando EB-798-2013, de fecha 14 de noviembre de 2013, suscrito por la M.Sc. Ileana Moreira. Directora de la Escuela de Biología, dirigido al Dr. Julio C. Calvo A, Presidente del Consejo Institucional, en el cual  presenta solicitud formal para que se autorice la salida del país a los vehículos de la Institución para el traslado de funcionarios de esa Escuela  y de la Escuela de Ingeniería Forestal, quienes harán una visita científica a la Universidad de León los días 9 y 10 de diciembre próximo, en el marco del Proyecto Jatropha curcas (Tempate) en Costa Rica. Los funcionarios que viajarán en dicho vehículo son: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Ph.D Dagoberto Arias Aguilar </w:t>
        <w:tab/>
        <w:tab/>
        <w:t xml:space="preserve">Cédula 106930414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Ing. Marvin Castillo </w:t>
        <w:tab/>
        <w:tab/>
        <w:tab/>
        <w:t xml:space="preserve">Cédula 401480245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M.Sc Ileana Moreira González </w:t>
        <w:tab/>
        <w:tab/>
        <w:t xml:space="preserve">Cédula 401170268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M.Sc Elizabeth Arnáez Serrano </w:t>
        <w:tab/>
        <w:t xml:space="preserve">Cédula 105290418</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características de los vehículos a autorizar se detallan a continuación: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64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4394"/>
        <w:tblGridChange w:id="0">
          <w:tblGrid>
            <w:gridCol w:w="4252"/>
            <w:gridCol w:w="439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Vehículo Autorizado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Vehículo sustituto</w:t>
            </w:r>
            <w:r w:rsidDel="00000000" w:rsidR="00000000" w:rsidRPr="00000000">
              <w:rPr>
                <w:rtl w:val="0"/>
              </w:rPr>
            </w:r>
          </w:p>
        </w:tc>
      </w:tr>
      <w:tr>
        <w:tc>
          <w:tcPr/>
          <w:p w:rsidR="00000000" w:rsidDel="00000000" w:rsidP="00000000" w:rsidRDefault="00000000" w:rsidRPr="00000000">
            <w:pPr>
              <w:ind w:left="33" w:firstLine="0"/>
              <w:contextualSpacing w:val="0"/>
              <w:jc w:val="both"/>
            </w:pPr>
            <w:r w:rsidDel="00000000" w:rsidR="00000000" w:rsidRPr="00000000">
              <w:rPr>
                <w:rFonts w:ascii="Arial" w:cs="Arial" w:eastAsia="Arial" w:hAnsi="Arial"/>
                <w:color w:val="000000"/>
                <w:sz w:val="22"/>
                <w:szCs w:val="22"/>
                <w:vertAlign w:val="baseline"/>
                <w:rtl w:val="0"/>
              </w:rPr>
              <w:t xml:space="preserve">Toyota FORTUNER  placa 265-224 número motor </w:t>
            </w:r>
            <w:r w:rsidDel="00000000" w:rsidR="00000000" w:rsidRPr="00000000">
              <w:rPr>
                <w:rFonts w:ascii="Arial" w:cs="Arial" w:eastAsia="Arial" w:hAnsi="Arial"/>
                <w:b w:val="1"/>
                <w:color w:val="000000"/>
                <w:sz w:val="22"/>
                <w:szCs w:val="22"/>
                <w:highlight w:val="white"/>
                <w:vertAlign w:val="baseline"/>
                <w:rtl w:val="0"/>
              </w:rPr>
              <w:t xml:space="preserve">1KD5155630</w:t>
            </w:r>
            <w:r w:rsidDel="00000000" w:rsidR="00000000" w:rsidRPr="00000000">
              <w:rPr>
                <w:rFonts w:ascii="Arial" w:cs="Arial" w:eastAsia="Arial" w:hAnsi="Arial"/>
                <w:color w:val="000000"/>
                <w:sz w:val="22"/>
                <w:szCs w:val="22"/>
                <w:vertAlign w:val="baseline"/>
                <w:rtl w:val="0"/>
              </w:rPr>
              <w:t xml:space="preserve"> y número de chasís </w:t>
            </w:r>
            <w:r w:rsidDel="00000000" w:rsidR="00000000" w:rsidRPr="00000000">
              <w:rPr>
                <w:rFonts w:ascii="Arial" w:cs="Arial" w:eastAsia="Arial" w:hAnsi="Arial"/>
                <w:b w:val="1"/>
                <w:color w:val="000000"/>
                <w:sz w:val="22"/>
                <w:szCs w:val="22"/>
                <w:highlight w:val="white"/>
                <w:vertAlign w:val="baseline"/>
                <w:rtl w:val="0"/>
              </w:rPr>
              <w:t xml:space="preserve">MR0YZ59G201103423</w:t>
            </w:r>
            <w:r w:rsidDel="00000000" w:rsidR="00000000" w:rsidRPr="00000000">
              <w:rPr>
                <w:rFonts w:ascii="Arial" w:cs="Arial" w:eastAsia="Arial" w:hAnsi="Arial"/>
                <w:vertAlign w:val="baseline"/>
                <w:rtl w:val="0"/>
              </w:rPr>
              <w:t xml:space="preserve">.  </w:t>
            </w:r>
            <w:r w:rsidDel="00000000" w:rsidR="00000000" w:rsidRPr="00000000">
              <w:rPr>
                <w:rtl w:val="0"/>
              </w:rPr>
            </w:r>
          </w:p>
        </w:tc>
        <w:tc>
          <w:tcPr/>
          <w:p w:rsidR="00000000" w:rsidDel="00000000" w:rsidP="00000000" w:rsidRDefault="00000000" w:rsidRPr="00000000">
            <w:pPr>
              <w:ind w:left="33" w:firstLine="0"/>
              <w:contextualSpacing w:val="0"/>
              <w:jc w:val="both"/>
            </w:pPr>
            <w:r w:rsidDel="00000000" w:rsidR="00000000" w:rsidRPr="00000000">
              <w:rPr>
                <w:rFonts w:ascii="Arial" w:cs="Arial" w:eastAsia="Arial" w:hAnsi="Arial"/>
                <w:color w:val="000000"/>
                <w:sz w:val="22"/>
                <w:szCs w:val="22"/>
                <w:highlight w:val="white"/>
                <w:vertAlign w:val="baseline"/>
                <w:rtl w:val="0"/>
              </w:rPr>
              <w:t xml:space="preserve">Toyota FORTUNER placa  265-211, número de motor </w:t>
            </w:r>
            <w:r w:rsidDel="00000000" w:rsidR="00000000" w:rsidRPr="00000000">
              <w:rPr>
                <w:rFonts w:ascii="Arial" w:cs="Arial" w:eastAsia="Arial" w:hAnsi="Arial"/>
                <w:b w:val="1"/>
                <w:color w:val="000000"/>
                <w:sz w:val="22"/>
                <w:szCs w:val="22"/>
                <w:highlight w:val="white"/>
                <w:vertAlign w:val="baseline"/>
                <w:rtl w:val="0"/>
              </w:rPr>
              <w:t xml:space="preserve">1KD7903462</w:t>
            </w:r>
            <w:r w:rsidDel="00000000" w:rsidR="00000000" w:rsidRPr="00000000">
              <w:rPr>
                <w:rFonts w:ascii="Arial" w:cs="Arial" w:eastAsia="Arial" w:hAnsi="Arial"/>
                <w:color w:val="000000"/>
                <w:sz w:val="22"/>
                <w:szCs w:val="22"/>
                <w:highlight w:val="white"/>
                <w:vertAlign w:val="baseline"/>
                <w:rtl w:val="0"/>
              </w:rPr>
              <w:t xml:space="preserve"> y número de chasís </w:t>
            </w:r>
            <w:r w:rsidDel="00000000" w:rsidR="00000000" w:rsidRPr="00000000">
              <w:rPr>
                <w:rFonts w:ascii="Arial" w:cs="Arial" w:eastAsia="Arial" w:hAnsi="Arial"/>
                <w:b w:val="1"/>
                <w:color w:val="000000"/>
                <w:sz w:val="22"/>
                <w:szCs w:val="22"/>
                <w:highlight w:val="white"/>
                <w:vertAlign w:val="baseline"/>
                <w:rtl w:val="0"/>
              </w:rPr>
              <w:t xml:space="preserve">MR0YZ59G000092752.</w:t>
            </w: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el mismo oficio comunica que el chofer que los acompañaría es el señor Marco Mora Marín, cédula 3-302-104, como chofer propietario, y se dispondría de un chofer suplente que sería el señor Edgar Olivares Ortega, cédula 3-303-001, en una eventual ausencia del Sr. Mora Marín; ambos son funcionarios de la Unidad de Transporte. (Anexo 1).</w:t>
      </w:r>
      <w:r w:rsidDel="00000000" w:rsidR="00000000" w:rsidRPr="00000000">
        <w:rPr>
          <w:rtl w:val="0"/>
        </w:rPr>
      </w:r>
    </w:p>
    <w:p w:rsidR="00000000" w:rsidDel="00000000" w:rsidP="00000000" w:rsidRDefault="00000000" w:rsidRPr="00000000">
      <w:pPr>
        <w:tabs>
          <w:tab w:val="left" w:pos="139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Autorizar la salida del país del Vehículo Toyota FORTUNER Placa 265-224, número motor 1KD5155630 y número de chasís MROYZ59G201103423;  para que traslade a  los funcionarios(as) de la Escuela de Biología y de la Escuela de Ingeniería Forestal citados; a la Universidad de León, Nicaragua,  del 8 al 11 de diciembre de 2013, quienes harán una visita científica en el marco del Proyecto Jatropha curcas (Tempate) en Costa Rica, para su uso como fuente de energía alternativa y mitigación del cambio climático.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Autorizar la salida del vehículo Toyota FORTUNER Placa 265-211, número motor 1KD7903462 y número de chasís MROYZ59G000092752, en sustitución del vehículo 265-224, ante cualquier eventualidad.</w:t>
      </w:r>
      <w:r w:rsidDel="00000000" w:rsidR="00000000" w:rsidRPr="00000000">
        <w:rPr>
          <w:rtl w:val="0"/>
        </w:rPr>
      </w:r>
    </w:p>
    <w:p w:rsidR="00000000" w:rsidDel="00000000" w:rsidP="00000000" w:rsidRDefault="00000000" w:rsidRPr="00000000">
      <w:pPr>
        <w:ind w:left="360" w:right="363"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chofer Propietario asignado por la Unidad de Transportes es el señor Marco Mora Marín, cédula 3-302-104,  y el señor Edgar Olivares Ortega, cédula 3-303-001, como chofer suplente, ante alguna eventualidad; ambos  funcionarios de la Unidad de Transportes.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Solicitar que la Administración gestione el pago de las respectivas pólizas de los funcionarios(as), así como de los vehículos fuera del territorio nacional, según disponibilidad de recursos presupuestarios.</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Palabras Clave:  Salida  -  país – vehículos institucionales – Jatropha – energía alternativa</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Unidad de Transportes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2848, Artículo 7, del  20 de noviembre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40" w:firstLine="48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