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SCI-1113-2013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Rector a.i.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 Luis Paulino Méndez, Vicerrector de Docencia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MAE. William Vives, Vicerrector de Administración</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 Milton Villarreal, Vicerrector de VIE</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Claudia Madrizova, Vicerrectora VIESA</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M.Sc. Edgardo Vargas, Director Sede Regional San Carlos</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Arq. Marlene Ilama, Directora Centro Académico de San José</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Lic. Wilberth Mata, Director 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MAU. Tatiana Fernández, Directora Oficina de Planificación Institucional</w:t>
            </w:r>
            <w:r w:rsidDel="00000000" w:rsidR="00000000" w:rsidRPr="00000000">
              <w:rPr>
                <w:rtl w:val="0"/>
              </w:rPr>
            </w:r>
          </w:p>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04 de diciembre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2850 Artículo 11, del 04 de diciembre de 2013.  Cronograma de Formulación Plan Presupuesto 2015</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r w:rsidDel="00000000" w:rsidR="00000000" w:rsidRPr="00000000">
        <w:rPr>
          <w:rtl w:val="0"/>
        </w:rPr>
      </w:r>
    </w:p>
    <w:p w:rsidR="00000000" w:rsidDel="00000000" w:rsidP="00000000" w:rsidRDefault="00000000" w:rsidRPr="00000000">
      <w:pPr>
        <w:spacing w:before="120" w:lineRule="auto"/>
        <w:ind w:left="1056" w:right="440" w:hanging="144.00000000000006"/>
        <w:contextualSpacing w:val="0"/>
        <w:jc w:val="both"/>
      </w:pPr>
      <w:r w:rsidDel="00000000" w:rsidR="00000000" w:rsidRPr="00000000">
        <w:rPr>
          <w:rFonts w:ascii="Arial" w:cs="Arial" w:eastAsia="Arial" w:hAnsi="Arial"/>
          <w:i w:val="1"/>
          <w:sz w:val="22"/>
          <w:szCs w:val="22"/>
          <w:vertAlign w:val="baseline"/>
          <w:rtl w:val="0"/>
        </w:rPr>
        <w:t xml:space="preserve">“El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1.</w:t>
      </w:r>
      <w:r w:rsidDel="00000000" w:rsidR="00000000" w:rsidRPr="00000000">
        <w:rPr>
          <w:rFonts w:ascii="Arial" w:cs="Arial" w:eastAsia="Arial" w:hAnsi="Arial"/>
          <w:i w:val="1"/>
          <w:sz w:val="22"/>
          <w:szCs w:val="22"/>
          <w:vertAlign w:val="baseline"/>
          <w:rtl w:val="0"/>
        </w:rPr>
        <w:t xml:space="preserve"> Políticas Específicas y Lineamientos</w:t>
      </w: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2.</w:t>
      </w:r>
      <w:r w:rsidDel="00000000" w:rsidR="00000000" w:rsidRPr="00000000">
        <w:rPr>
          <w:rFonts w:ascii="Arial" w:cs="Arial" w:eastAsia="Arial" w:hAnsi="Arial"/>
          <w:i w:val="1"/>
          <w:sz w:val="22"/>
          <w:szCs w:val="22"/>
          <w:vertAlign w:val="baseline"/>
          <w:rtl w:val="0"/>
        </w:rPr>
        <w:t xml:space="preserve"> Creación de Plazas</w:t>
      </w:r>
      <w:r w:rsidDel="00000000" w:rsidR="00000000" w:rsidRPr="00000000">
        <w:rPr>
          <w:rtl w:val="0"/>
        </w:rPr>
      </w:r>
    </w:p>
    <w:p w:rsidR="00000000" w:rsidDel="00000000" w:rsidP="00000000" w:rsidRDefault="00000000" w:rsidRPr="00000000">
      <w:pPr>
        <w:tabs>
          <w:tab w:val="left" w:pos="3060"/>
        </w:tabs>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3.</w:t>
      </w:r>
      <w:r w:rsidDel="00000000" w:rsidR="00000000" w:rsidRPr="00000000">
        <w:rPr>
          <w:rFonts w:ascii="Arial" w:cs="Arial" w:eastAsia="Arial" w:hAnsi="Arial"/>
          <w:i w:val="1"/>
          <w:sz w:val="22"/>
          <w:szCs w:val="22"/>
          <w:vertAlign w:val="baseline"/>
          <w:rtl w:val="0"/>
        </w:rPr>
        <w:t xml:space="preserve"> Anteproyecto</w:t>
        <w:tab/>
      </w:r>
      <w:r w:rsidDel="00000000" w:rsidR="00000000" w:rsidRPr="00000000">
        <w:rPr>
          <w:rtl w:val="0"/>
        </w:rPr>
      </w:r>
    </w:p>
    <w:p w:rsidR="00000000" w:rsidDel="00000000" w:rsidP="00000000" w:rsidRDefault="00000000" w:rsidRPr="00000000">
      <w:pPr>
        <w:ind w:left="2517" w:right="1486" w:hanging="1440"/>
        <w:contextualSpacing w:val="0"/>
      </w:pPr>
      <w:r w:rsidDel="00000000" w:rsidR="00000000" w:rsidRPr="00000000">
        <w:rPr>
          <w:rFonts w:ascii="Arial" w:cs="Arial" w:eastAsia="Arial" w:hAnsi="Arial"/>
          <w:b w:val="1"/>
          <w:i w:val="1"/>
          <w:sz w:val="22"/>
          <w:szCs w:val="22"/>
          <w:vertAlign w:val="baseline"/>
          <w:rtl w:val="0"/>
        </w:rPr>
        <w:t xml:space="preserve">4.</w:t>
      </w:r>
      <w:r w:rsidDel="00000000" w:rsidR="00000000" w:rsidRPr="00000000">
        <w:rPr>
          <w:rFonts w:ascii="Arial" w:cs="Arial" w:eastAsia="Arial" w:hAnsi="Arial"/>
          <w:i w:val="1"/>
          <w:sz w:val="22"/>
          <w:szCs w:val="22"/>
          <w:vertAlign w:val="baseline"/>
          <w:rtl w:val="0"/>
        </w:rPr>
        <w:t xml:space="preserve"> Proyecto Final del Plan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del Proceso de Planificación Institucional y Normas de Operación del Consejo de Planificación Institucional, establece en el 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9 Seguimiento y evaluación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El seguimiento y la evaluación del proceso de planificación institucional consiste en la verificación del cumplimiento de los siguientes aspectos: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3"/>
        </w:numPr>
        <w:ind w:left="1494" w:hanging="500.99999999999994"/>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Plan estratégico institucional </w:t>
      </w:r>
      <w:r w:rsidDel="00000000" w:rsidR="00000000" w:rsidRPr="00000000">
        <w:rPr>
          <w:rtl w:val="0"/>
        </w:rPr>
      </w:r>
    </w:p>
    <w:p w:rsidR="00000000" w:rsidDel="00000000" w:rsidP="00000000" w:rsidRDefault="00000000" w:rsidRPr="00000000">
      <w:pPr>
        <w:ind w:left="1512" w:firstLine="0"/>
        <w:contextualSpacing w:val="0"/>
        <w:jc w:val="both"/>
      </w:pPr>
      <w:r w:rsidDel="00000000" w:rsidR="00000000" w:rsidRPr="00000000">
        <w:rPr>
          <w:rFonts w:ascii="Arial" w:cs="Arial" w:eastAsia="Arial" w:hAnsi="Arial"/>
          <w:i w:val="1"/>
          <w:sz w:val="20"/>
          <w:szCs w:val="20"/>
          <w:vertAlign w:val="baseline"/>
          <w:rtl w:val="0"/>
        </w:rPr>
        <w:t xml:space="preserve">El seguimiento del Plan Estratégico Institucional deberá realizarlo por el Consejo de Planificación con el apoyo y direccionamiento técnico de la Oficina de Planificación Institucional, al menos una vez al año. De considerarlo necesario, ese órgano colegiado deberá formular las propuestas de modificación al Plan Estratégico Institucional con el fin de que el Consejo Institucional las apruebe, y notifique a la comunidad institucional, los ajustes correspondientes a cada nivel.</w:t>
      </w:r>
      <w:r w:rsidDel="00000000" w:rsidR="00000000" w:rsidRPr="00000000">
        <w:rPr>
          <w:rtl w:val="0"/>
        </w:rPr>
      </w:r>
    </w:p>
    <w:p w:rsidR="00000000" w:rsidDel="00000000" w:rsidP="00000000" w:rsidRDefault="00000000" w:rsidRPr="00000000">
      <w:pPr>
        <w:numPr>
          <w:ilvl w:val="0"/>
          <w:numId w:val="3"/>
        </w:numPr>
        <w:ind w:left="1494" w:hanging="500.99999999999994"/>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Planes tácticos</w:t>
      </w:r>
      <w:r w:rsidDel="00000000" w:rsidR="00000000" w:rsidRPr="00000000">
        <w:rPr>
          <w:rtl w:val="0"/>
        </w:rPr>
      </w:r>
    </w:p>
    <w:p w:rsidR="00000000" w:rsidDel="00000000" w:rsidP="00000000" w:rsidRDefault="00000000" w:rsidRPr="00000000">
      <w:pPr>
        <w:ind w:left="1512" w:firstLine="0"/>
        <w:contextualSpacing w:val="0"/>
        <w:jc w:val="both"/>
      </w:pPr>
      <w:r w:rsidDel="00000000" w:rsidR="00000000" w:rsidRPr="00000000">
        <w:rPr>
          <w:rFonts w:ascii="Arial" w:cs="Arial" w:eastAsia="Arial" w:hAnsi="Arial"/>
          <w:i w:val="1"/>
          <w:sz w:val="20"/>
          <w:szCs w:val="20"/>
          <w:vertAlign w:val="baseline"/>
          <w:rtl w:val="0"/>
        </w:rPr>
        <w:t xml:space="preserve">El seguimiento de los planes tácticos deberá ser realizado, al menos una vez al año, por la dependencia o dependencias responsables, con el apoyo y direccionamiento técnico de la Oficina de Planificación Institucional, las cuales deberán formular las propuestas de cambio en los planes que estimen necesarias, con el fin de que el Consejo Institucional las apruebe, y notifique a la comunidad institucional, los ajustes correspondientes a cada nivel.</w:t>
      </w:r>
      <w:r w:rsidDel="00000000" w:rsidR="00000000" w:rsidRPr="00000000">
        <w:rPr>
          <w:rtl w:val="0"/>
        </w:rPr>
      </w:r>
    </w:p>
    <w:p w:rsidR="00000000" w:rsidDel="00000000" w:rsidP="00000000" w:rsidRDefault="00000000" w:rsidRPr="00000000">
      <w:pPr>
        <w:numPr>
          <w:ilvl w:val="0"/>
          <w:numId w:val="3"/>
        </w:numPr>
        <w:ind w:left="1494" w:hanging="500.99999999999994"/>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Plan Anual Operativo Institucional</w:t>
      </w: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Fonts w:ascii="Arial" w:cs="Arial" w:eastAsia="Arial" w:hAnsi="Arial"/>
          <w:i w:val="1"/>
          <w:sz w:val="20"/>
          <w:szCs w:val="20"/>
          <w:vertAlign w:val="baseline"/>
          <w:rtl w:val="0"/>
        </w:rPr>
        <w:t xml:space="preserve">Los responsables el seguimiento de los resultados del Plan Anual Operativo serán los encargados de cada programa. La evaluación y el seguimiento serán realizados por la Rectoría con el apoyo de la Oficina de Planificación Institucional. La evaluación será sometida a conocimiento del Consejo Institucional.”</w:t>
      </w:r>
      <w:r w:rsidDel="00000000" w:rsidR="00000000" w:rsidRPr="00000000">
        <w:rPr>
          <w:rtl w:val="0"/>
        </w:rPr>
      </w:r>
    </w:p>
    <w:p w:rsidR="00000000" w:rsidDel="00000000" w:rsidP="00000000" w:rsidRDefault="00000000" w:rsidRPr="00000000">
      <w:pPr>
        <w:ind w:left="1560" w:firstLine="72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El Consejo Institucional en Sesión Ordinaria No. 2806, Artículo 11, del 27 de febrero de</w:t>
      </w:r>
      <w:r w:rsidDel="00000000" w:rsidR="00000000" w:rsidRPr="00000000">
        <w:rPr>
          <w:rFonts w:ascii="Arial" w:cs="Arial" w:eastAsia="Arial" w:hAnsi="Arial"/>
          <w:sz w:val="22"/>
          <w:szCs w:val="22"/>
          <w:vertAlign w:val="baseline"/>
          <w:rtl w:val="0"/>
        </w:rPr>
        <w:t xml:space="preserve"> 2013, </w:t>
      </w:r>
      <w:r w:rsidDel="00000000" w:rsidR="00000000" w:rsidRPr="00000000">
        <w:rPr>
          <w:rFonts w:ascii="Arial" w:cs="Arial" w:eastAsia="Arial" w:hAnsi="Arial"/>
          <w:vertAlign w:val="baseline"/>
          <w:rtl w:val="0"/>
        </w:rPr>
        <w:t xml:space="preserve">aprobó el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“Cronograma y Lineamientos para la formulación del Plan Anual Operativo y Presupuesto 2014”;</w:t>
      </w:r>
      <w:r w:rsidDel="00000000" w:rsidR="00000000" w:rsidRPr="00000000">
        <w:rPr>
          <w:rFonts w:ascii="Arial" w:cs="Arial" w:eastAsia="Arial" w:hAnsi="Arial"/>
          <w:sz w:val="22"/>
          <w:szCs w:val="22"/>
          <w:vertAlign w:val="baseline"/>
          <w:rtl w:val="0"/>
        </w:rPr>
        <w:t xml:space="preserve"> respecto al Cronograma para la  Formulación de Plan-Presupuesto 2015, acordó:</w:t>
      </w: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tl w:val="0"/>
        </w:rPr>
      </w:r>
    </w:p>
    <w:p w:rsidR="00000000" w:rsidDel="00000000" w:rsidP="00000000" w:rsidRDefault="00000000" w:rsidRPr="00000000">
      <w:pPr>
        <w:ind w:left="993" w:hanging="567"/>
        <w:contextualSpacing w:val="0"/>
        <w:jc w:val="both"/>
      </w:pPr>
      <w:r w:rsidDel="00000000" w:rsidR="00000000" w:rsidRPr="00000000">
        <w:rPr>
          <w:rFonts w:ascii="Arial" w:cs="Arial" w:eastAsia="Arial" w:hAnsi="Arial"/>
          <w:i w:val="1"/>
          <w:sz w:val="22"/>
          <w:szCs w:val="22"/>
          <w:vertAlign w:val="baseline"/>
          <w:rtl w:val="0"/>
        </w:rPr>
        <w:t xml:space="preserve">“a.  Aprobar las siguientes fechas para la aprobación del Cronograma para la Formulación de Plan-Presupuesto de 2015: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8560.0" w:type="dxa"/>
        <w:jc w:val="left"/>
        <w:tblInd w:w="-70.0" w:type="dxa"/>
        <w:tblLayout w:type="fixed"/>
        <w:tblLook w:val="0000"/>
      </w:tblPr>
      <w:tblGrid>
        <w:gridCol w:w="2312"/>
        <w:gridCol w:w="1546"/>
        <w:gridCol w:w="1695"/>
        <w:gridCol w:w="1387"/>
        <w:gridCol w:w="1620"/>
        <w:tblGridChange w:id="0">
          <w:tblGrid>
            <w:gridCol w:w="2312"/>
            <w:gridCol w:w="1546"/>
            <w:gridCol w:w="1695"/>
            <w:gridCol w:w="1387"/>
            <w:gridCol w:w="1620"/>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ETAPAS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Fecha envió</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Responsable presentación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Fecha propuesta para aprobación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Responsable  de  aprobación </w:t>
            </w:r>
            <w:r w:rsidDel="00000000" w:rsidR="00000000" w:rsidRPr="00000000">
              <w:rPr>
                <w:rtl w:val="0"/>
              </w:rPr>
            </w:r>
          </w:p>
        </w:tc>
      </w:tr>
      <w:tr>
        <w:trPr>
          <w:trHeight w:val="300" w:hRule="atLeast"/>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i w:val="1"/>
                <w:sz w:val="20"/>
                <w:szCs w:val="20"/>
                <w:vertAlign w:val="baseline"/>
                <w:rtl w:val="0"/>
              </w:rPr>
              <w:t xml:space="preserve">Cronograma de Formulación Plan Presupuesto 2015</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Envío de propuesta al Consejo Institucional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18 de noviembre de 2013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Rector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Análisis y discusión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19 al 25 de noviembre de 2013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Comisión de Planificación y Administración</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     Aprobación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27 de noviembre de 2013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Consejo Institucional</w:t>
            </w:r>
            <w:r w:rsidDel="00000000" w:rsidR="00000000" w:rsidRPr="00000000">
              <w:rPr>
                <w:rtl w:val="0"/>
              </w:rPr>
            </w:r>
          </w:p>
        </w:tc>
      </w:tr>
    </w:tbl>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Formulario solicitud de prórroga con fecha de recibido 18 de noviembre del 2013, suscrito por el Dr. Julio C. Calvo Alvarado, Rector, dirigida al Consejo Institucional, en el cual solicita una prórroga para cumplir con el  acuerdo de la Sesión Ordinaria No. 2806, Artículo 11, del 27 de febrero de 2013, Cronograma y Lineamientos para la Formulación del Plan Anual Operativo y Presupuesto Ordinario 2014, e indica que se requiere la revisión y validación de la Vicerrectoría de Administración, a la propuesta de Cronograma realizada por la Oficina de Planificación Institucional, y el titular de la Vicerrectoría está fuera del país. (Anexo 1)</w:t>
      </w:r>
      <w:r w:rsidDel="00000000" w:rsidR="00000000" w:rsidRPr="00000000">
        <w:rPr>
          <w:rtl w:val="0"/>
        </w:rPr>
      </w:r>
    </w:p>
    <w:p w:rsidR="00000000" w:rsidDel="00000000" w:rsidP="00000000" w:rsidRDefault="00000000" w:rsidRPr="00000000">
      <w:pPr>
        <w:ind w:left="15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celebrada el 21 de noviembre del 2013, según consta en la Minuta No. 557, conoció la solicitud de prórroga presentada por la Rectoría.  Sin embargo, dada la fecha en que la Comisión conoció  la solicitud,  la propuesta para la aprobación de la prórroga se estaría  dando en una fecha posterior al plazo  solicitado por la Rectoría, por lo que la Comisión dispuso enviar oficio indicando hacer la entrega en la fecha solicitada.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OPI-1262-2013, con fecha de recibido 26 de noviembre de 2013, suscrito por la MAU. Tatiana Fernández, Directora de la Oficina de Planificación Institucional, dirigido al Ing. Alexander Valerín, Coordinador  de la Comisión de Planificación y Administración, en el cual remite la propuesta del Cronograma de Formulación del Plan Presupuesto Ordinario 2015, para su respectivo conocimiento y aprobación.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reunión de la Comisión de Planificación y Administración en reunión del 27 de noviembre de 2013, según consta en la minuta No. 559-2013, se analiza y discute el Cronograma adjunto al  oficio OPI-1262-2013 y dispone elevar la propuesta  al Consejo Institucional en la Sesión Ordinaria por celebrarse el miércoles 04 de noviembre de 2013.</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92"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R-1197-2013, del 3 de diciembre de 2013, suscrito por el M.Sc. Luis Paulino Méndez, Rector a.i., dirigido al Ing. Alexander Valerín, Coordinador de la Comisión de Planificación y Administración, en el cual indica que el Consejo de Rectoría en la Sesión No. 42-2013, Artículo 2,  del 2 de diciembre del presente año, conoció y avaló la propuesta del Cronograma para la Formulación del Plan Presupuesto 2015. (Anexo 2)</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OPI-1270-2013, con fecha de recibido 02 de diciembre de 2013, suscrito por la MAU. Tatiana Fernández, Directora de la Oficina de Planificación Institucional, dirigido al Ing. Alexander Valerín, Coordinador  de la Comisión de Planificación y Administración, en el cual adjunta Fe de erratas al Cronograma de Formulación del Plan Presupuesto Ordinario 2015, adjunto al oficio OPI-1262-2013 en vista de que el mismo contenía fechas del 2013. (Anexo 3).</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Aprobar las siguientes fechas para la aprobación del Cronograma para la Formulación de Plan-Presupuesto de 2015:</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tbl>
      <w:tblPr>
        <w:tblStyle w:val="Table3"/>
        <w:bidi w:val="0"/>
        <w:tblW w:w="10780.0" w:type="dxa"/>
        <w:jc w:val="left"/>
        <w:tblInd w:w="-426.0" w:type="dxa"/>
        <w:tblLayout w:type="fixed"/>
        <w:tblLook w:val="0000"/>
      </w:tblPr>
      <w:tblGrid>
        <w:gridCol w:w="578"/>
        <w:gridCol w:w="3682"/>
        <w:gridCol w:w="1572"/>
        <w:gridCol w:w="1546"/>
        <w:gridCol w:w="175"/>
        <w:gridCol w:w="664"/>
        <w:gridCol w:w="720"/>
        <w:gridCol w:w="1843"/>
        <w:tblGridChange w:id="0">
          <w:tblGrid>
            <w:gridCol w:w="578"/>
            <w:gridCol w:w="3682"/>
            <w:gridCol w:w="1572"/>
            <w:gridCol w:w="1546"/>
            <w:gridCol w:w="175"/>
            <w:gridCol w:w="664"/>
            <w:gridCol w:w="720"/>
            <w:gridCol w:w="1843"/>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No.</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ETAPAS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Fecha envío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 presentación</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Fecha propuesta para aprobación</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18"/>
                <w:szCs w:val="18"/>
                <w:vertAlign w:val="baseline"/>
                <w:rtl w:val="0"/>
              </w:rPr>
              <w:t xml:space="preserve">Responsable  de  aprobación </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Planificación Estratégica y Táctica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Revisión y análisis Plan Estratégico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  al 21 de febrero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C.Vic - CR - CP</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Análisis y discusión</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24 de febrero al 28 de febrero 2014</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Planificación y</w:t>
              <w:br w:type="textWrapping"/>
              <w:t xml:space="preserve">Auditoría Interna</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Aprobación del CI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 de marzo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2.</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Lineamientos de Formulación Plan Presupuesto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de la propuesta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 de febrero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14 al 25 febrero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54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26 de febrero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3.</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Políticas Específicas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de la propuesta a la Comunidad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04 de marzo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propuesta a CPA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08 de abril de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 de abril al 02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07 de mayo de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4.</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Renovación y Creación de Plazas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 de mayo 2014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 de mayo al 16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19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5.</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Fondo del Sistema (Renovación, Creación de Plazas y Proyectos)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julio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julio al 05 de agosto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06 de agosto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6.</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Anteproyecto Presupuesto Ordinario y Plan Anual Operativo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02  de setiembre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04 al 11 de setiembre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7.</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Proyecto Plan Presupuesto Formato Contraloría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19 de setiembre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22 al 26 de setiembre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 de setiembre 2014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40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8.</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Informes de Ejecución de Plazas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de Plazas al 30 de abril</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03 de mayo 2014</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w:t>
            </w:r>
            <w:r w:rsidDel="00000000" w:rsidR="00000000" w:rsidRPr="00000000">
              <w:rPr>
                <w:rtl w:val="0"/>
              </w:rPr>
            </w:r>
          </w:p>
        </w:tc>
        <w:tc>
          <w:tcPr>
            <w:gridSpan w:val="3"/>
            <w:tcBorders>
              <w:top w:color="000000" w:space="0" w:sz="8" w:val="single"/>
              <w:left w:color="000000" w:space="0" w:sz="8" w:val="single"/>
              <w:bottom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 - RRHH</w:t>
            </w:r>
            <w:r w:rsidDel="00000000" w:rsidR="00000000" w:rsidRPr="00000000">
              <w:rPr>
                <w:rtl w:val="0"/>
              </w:rPr>
            </w:r>
          </w:p>
        </w:tc>
        <w:tc>
          <w:tcPr>
            <w:gridSpan w:val="3"/>
            <w:tcBorders>
              <w:top w:color="000000" w:space="0" w:sz="8" w:val="single"/>
              <w:left w:color="000000" w:space="0" w:sz="8" w:val="single"/>
              <w:bottom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08-13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Acuerdo para traslado de informe a Rector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25 de junio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15-26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Acciones de mejora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 de mayo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de Plazas al 15 de julio, 2014 a Rector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29 de julio 2014</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w:t>
              <w:br w:type="textWrapping"/>
              <w:t xml:space="preserve">VDA-RRHH</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07-15 de agosto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Acciones de mejora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18 de agosto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 semestral de plazas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 de agosto 2014</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28 agosto-04 de setiembre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 de setiembre de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de Plazas al 30 de setiembre al Rector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03 de octubre 2014</w:t>
            </w:r>
            <w:r w:rsidDel="00000000" w:rsidR="00000000" w:rsidRPr="00000000">
              <w:rPr>
                <w:rtl w:val="0"/>
              </w:rPr>
            </w:r>
          </w:p>
        </w:tc>
        <w:tc>
          <w:tcPr>
            <w:tcBorders>
              <w:top w:color="000000" w:space="0" w:sz="8" w:val="single"/>
              <w:left w:color="000000" w:space="0" w:sz="0" w:val="nil"/>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VAD - RRHH</w:t>
            </w: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09-16 de octubre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Acciones de mejora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 de octubre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de Plazas al 31 de diciembre,  2014</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23 de enero 2015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 RRHH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26-30 de enero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Consejo de Rectoría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Acciones de mejora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03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 anual de ejecución de plazas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 de febrero de 2015</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Rector</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09-17 de febrero de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18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9.</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Evaluación de Planes Tácticos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Seguimiento a los Planes Tácticos 2014 al 30 de junio,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julio,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OPI-O. Ing. Consejo de Rectoría</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Consejo Institucional y Auditoría Interna</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Evaluaciones Planes Tácticos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09 de febrero 2015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 - C.Vic - CR - O. Ing. - CC - DAM - RRHH - CB - CEDA</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 al 25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26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10.</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Formulación de Planes Tácticos 2015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Formulación Planes Tácticos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29 de agosto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OPI - C.Vic - CR - O. Ing. - CC - DAM - RRHH - CB - CEDA</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22 al 26 de setiembre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30 de setiembre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Consejo Institucional</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12.</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Informes de Ejecución Presupuestaria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al 31 de marzo a CR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abril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23 de abril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 y Auditoría Interna</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al 30 de junio (a CR)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julio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23 de julio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 y Auditoría Interna</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Informes de Ejecución al 30 de setiembre a CR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20 de octubre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22 de octubre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 y Auditoría Interna</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Liquidación Presupuestaria al 31 de diciembre a CR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02 de febrero 2015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Vicerrector  VAD. FC - RRHH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5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11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  y Auditoría Interna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13.</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Evaluación del Plan Anual Operativo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Evaluación al 30 de junio a CR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21 de julio 2014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UFEPI-UECI</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104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22 al 29 de julio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br w:type="textWrapping"/>
              <w:t xml:space="preserve">Auditoría Interna y Consejo de Rectoría </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 de julio 2014</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Evaluación al 31 de diciembre, 2014 a CR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 de enero 2015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OPI - UFEPI-UECI</w:t>
            </w:r>
            <w:r w:rsidDel="00000000" w:rsidR="00000000" w:rsidRPr="00000000">
              <w:rPr>
                <w:rtl w:val="0"/>
              </w:rPr>
            </w:r>
          </w:p>
        </w:tc>
        <w:tc>
          <w:tcPr>
            <w:gridSpan w:val="3"/>
            <w:vMerge w:val="restart"/>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fffff"/>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3"/>
            <w:vMerge w:val="continue"/>
            <w:tcBorders>
              <w:top w:color="000000" w:space="0" w:sz="8" w:val="single"/>
              <w:left w:color="000000" w:space="0" w:sz="8"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r>
      <w:tr>
        <w:trPr>
          <w:trHeight w:val="12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05-10 de febrero 2015</w:t>
            </w: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Comisión de Planificación y Administración,</w:t>
              <w:br w:type="textWrapping"/>
              <w:t xml:space="preserve">Auditoría Interna y Consejo de Rectoría </w:t>
            </w: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Conocimiento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11 de febrero 2015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Consejo Institucional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ind w:left="480" w:hanging="480"/>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4"/>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Lic. Roy D’Avanzo, Director Depto. Financiero Contable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2850, Artículo 11, del  04 de diciembre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lowerLetter"/>
      <w:lvlText w:val="%1."/>
      <w:lvlJc w:val="left"/>
      <w:pPr>
        <w:ind w:left="720" w:firstLine="360"/>
      </w:pPr>
      <w:rPr>
        <w:b w:val="1"/>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494" w:firstLine="1134"/>
      </w:pPr>
      <w:rPr>
        <w:vertAlign w:val="baseline"/>
      </w:rPr>
    </w:lvl>
    <w:lvl w:ilvl="1">
      <w:start w:val="1"/>
      <w:numFmt w:val="lowerLetter"/>
      <w:lvlText w:val="%2."/>
      <w:lvlJc w:val="left"/>
      <w:pPr>
        <w:ind w:left="2214" w:firstLine="1854"/>
      </w:pPr>
      <w:rPr>
        <w:vertAlign w:val="baseline"/>
      </w:rPr>
    </w:lvl>
    <w:lvl w:ilvl="2">
      <w:start w:val="1"/>
      <w:numFmt w:val="lowerRoman"/>
      <w:lvlText w:val="%3."/>
      <w:lvlJc w:val="right"/>
      <w:pPr>
        <w:ind w:left="2934" w:firstLine="2754"/>
      </w:pPr>
      <w:rPr>
        <w:vertAlign w:val="baseline"/>
      </w:rPr>
    </w:lvl>
    <w:lvl w:ilvl="3">
      <w:start w:val="1"/>
      <w:numFmt w:val="decimal"/>
      <w:lvlText w:val="%4."/>
      <w:lvlJc w:val="left"/>
      <w:pPr>
        <w:ind w:left="3654" w:firstLine="3294"/>
      </w:pPr>
      <w:rPr>
        <w:vertAlign w:val="baseline"/>
      </w:rPr>
    </w:lvl>
    <w:lvl w:ilvl="4">
      <w:start w:val="1"/>
      <w:numFmt w:val="lowerLetter"/>
      <w:lvlText w:val="%5."/>
      <w:lvlJc w:val="left"/>
      <w:pPr>
        <w:ind w:left="4374" w:firstLine="4014"/>
      </w:pPr>
      <w:rPr>
        <w:vertAlign w:val="baseline"/>
      </w:rPr>
    </w:lvl>
    <w:lvl w:ilvl="5">
      <w:start w:val="1"/>
      <w:numFmt w:val="lowerRoman"/>
      <w:lvlText w:val="%6."/>
      <w:lvlJc w:val="right"/>
      <w:pPr>
        <w:ind w:left="5094" w:firstLine="4914"/>
      </w:pPr>
      <w:rPr>
        <w:vertAlign w:val="baseline"/>
      </w:rPr>
    </w:lvl>
    <w:lvl w:ilvl="6">
      <w:start w:val="1"/>
      <w:numFmt w:val="decimal"/>
      <w:lvlText w:val="%7."/>
      <w:lvlJc w:val="left"/>
      <w:pPr>
        <w:ind w:left="5814" w:firstLine="5454"/>
      </w:pPr>
      <w:rPr>
        <w:vertAlign w:val="baseline"/>
      </w:rPr>
    </w:lvl>
    <w:lvl w:ilvl="7">
      <w:start w:val="1"/>
      <w:numFmt w:val="lowerLetter"/>
      <w:lvlText w:val="%8."/>
      <w:lvlJc w:val="left"/>
      <w:pPr>
        <w:ind w:left="6534" w:firstLine="6174"/>
      </w:pPr>
      <w:rPr>
        <w:vertAlign w:val="baseline"/>
      </w:rPr>
    </w:lvl>
    <w:lvl w:ilvl="8">
      <w:start w:val="1"/>
      <w:numFmt w:val="lowerRoman"/>
      <w:lvlText w:val="%9."/>
      <w:lvlJc w:val="right"/>
      <w:pPr>
        <w:ind w:left="7254" w:firstLine="707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