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73" w:rsidRDefault="00CD6673" w:rsidP="007C024F">
      <w:pPr>
        <w:ind w:left="1276" w:hanging="1276"/>
        <w:jc w:val="both"/>
        <w:rPr>
          <w:rFonts w:ascii="Arial" w:eastAsia="MS Mincho" w:hAnsi="Arial" w:cs="Arial"/>
          <w:b/>
        </w:rPr>
      </w:pPr>
    </w:p>
    <w:p w:rsidR="00D958BC" w:rsidRDefault="00B0685C" w:rsidP="00B0685C">
      <w:pPr>
        <w:tabs>
          <w:tab w:val="left" w:pos="6420"/>
        </w:tabs>
        <w:ind w:left="1276" w:hanging="1276"/>
        <w:jc w:val="both"/>
        <w:rPr>
          <w:rFonts w:ascii="Arial" w:eastAsia="MS Mincho" w:hAnsi="Arial" w:cs="Arial"/>
          <w:b/>
        </w:rPr>
      </w:pPr>
      <w:r>
        <w:rPr>
          <w:rFonts w:ascii="Arial" w:eastAsia="MS Mincho" w:hAnsi="Arial" w:cs="Arial"/>
          <w:b/>
        </w:rPr>
        <w:tab/>
      </w:r>
      <w:r>
        <w:rPr>
          <w:rFonts w:ascii="Arial" w:eastAsia="MS Mincho" w:hAnsi="Arial" w:cs="Arial"/>
          <w:b/>
        </w:rPr>
        <w:tab/>
      </w: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160BC2">
        <w:rPr>
          <w:rFonts w:ascii="Arial" w:hAnsi="Arial" w:cs="Arial"/>
          <w:b/>
          <w:bCs/>
          <w:iCs/>
          <w:sz w:val="26"/>
          <w:szCs w:val="22"/>
          <w:lang w:val="es-CR"/>
        </w:rPr>
        <w:t>775</w:t>
      </w:r>
      <w:r w:rsidRPr="00D958BC">
        <w:rPr>
          <w:rFonts w:ascii="Arial" w:hAnsi="Arial" w:cs="Arial"/>
          <w:b/>
          <w:bCs/>
          <w:iCs/>
          <w:sz w:val="26"/>
          <w:szCs w:val="22"/>
          <w:lang w:val="es-CR"/>
        </w:rPr>
        <w:t>-2016</w:t>
      </w:r>
    </w:p>
    <w:p w:rsidR="00E965FF" w:rsidRPr="007D24E0" w:rsidRDefault="00D958BC" w:rsidP="00D958BC">
      <w:pPr>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664DA9"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w:t>
            </w:r>
            <w:r w:rsidR="00D958BC" w:rsidRPr="00D958B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Humberto Villalta</w:t>
            </w:r>
            <w:r w:rsidR="00D958BC" w:rsidRPr="00D958B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Ing.</w:t>
            </w:r>
            <w:r w:rsidR="009A6D33">
              <w:rPr>
                <w:rFonts w:ascii="Arial" w:eastAsia="Cambria" w:hAnsi="Arial" w:cs="Arial"/>
                <w:sz w:val="22"/>
                <w:szCs w:val="22"/>
                <w:lang w:val="es-ES_tradnl" w:eastAsia="en-US"/>
              </w:rPr>
              <w:t xml:space="preserve"> Andrés Robles</w:t>
            </w:r>
            <w:r w:rsidRPr="00664DA9">
              <w:rPr>
                <w:rFonts w:ascii="Arial" w:eastAsia="Cambria" w:hAnsi="Arial" w:cs="Arial"/>
                <w:sz w:val="22"/>
                <w:szCs w:val="22"/>
                <w:lang w:val="es-ES_tradnl" w:eastAsia="en-US"/>
              </w:rPr>
              <w:t>,  Vicerrector de Docencia</w:t>
            </w:r>
            <w:r w:rsidR="009A6D33">
              <w:rPr>
                <w:rFonts w:ascii="Arial" w:eastAsia="Cambria" w:hAnsi="Arial" w:cs="Arial"/>
                <w:sz w:val="22"/>
                <w:szCs w:val="22"/>
                <w:lang w:val="es-ES_tradnl" w:eastAsia="en-US"/>
              </w:rPr>
              <w:t xml:space="preserve"> </w:t>
            </w:r>
            <w:proofErr w:type="spellStart"/>
            <w:r w:rsidR="009A6D33">
              <w:rPr>
                <w:rFonts w:ascii="Arial" w:eastAsia="Cambria" w:hAnsi="Arial" w:cs="Arial"/>
                <w:sz w:val="22"/>
                <w:szCs w:val="22"/>
                <w:lang w:val="es-ES_tradnl" w:eastAsia="en-US"/>
              </w:rPr>
              <w:t>a.i.</w:t>
            </w:r>
            <w:proofErr w:type="spellEnd"/>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Ing. Luis Paulino Méndez, Coordinador de la Comisión Banco Mundial</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MBA. Humberto Villalta, Vicerrector de Administración</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 xml:space="preserve">Dra. Claudia Madrizova, Vicerrectora </w:t>
            </w:r>
            <w:r>
              <w:rPr>
                <w:rFonts w:ascii="Arial" w:eastAsia="Cambria" w:hAnsi="Arial" w:cs="Arial"/>
                <w:sz w:val="22"/>
                <w:szCs w:val="22"/>
                <w:lang w:val="es-ES_tradnl" w:eastAsia="en-US"/>
              </w:rPr>
              <w:t>VIESA</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 xml:space="preserve">Dra. Paola Vega, Vicerrectora de Investigación y Extensión </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Dr. Edgardo Vargas Jarquín, Director Sede Regional  San Carlos</w:t>
            </w:r>
          </w:p>
          <w:p w:rsidR="00664DA9" w:rsidRPr="00664DA9" w:rsidRDefault="00664DA9" w:rsidP="00664DA9">
            <w:pPr>
              <w:ind w:left="45"/>
              <w:jc w:val="both"/>
              <w:rPr>
                <w:rFonts w:ascii="Arial" w:eastAsia="Cambria" w:hAnsi="Arial" w:cs="Arial"/>
                <w:sz w:val="22"/>
                <w:szCs w:val="22"/>
                <w:lang w:val="es-ES_tradnl" w:eastAsia="en-US"/>
              </w:rPr>
            </w:pPr>
            <w:proofErr w:type="spellStart"/>
            <w:r w:rsidRPr="00664DA9">
              <w:rPr>
                <w:rFonts w:ascii="Arial" w:eastAsia="Cambria" w:hAnsi="Arial" w:cs="Arial"/>
                <w:sz w:val="22"/>
                <w:szCs w:val="22"/>
                <w:lang w:val="es-ES_tradnl" w:eastAsia="en-US"/>
              </w:rPr>
              <w:t>M.Sc</w:t>
            </w:r>
            <w:proofErr w:type="spellEnd"/>
            <w:r w:rsidRPr="00664DA9">
              <w:rPr>
                <w:rFonts w:ascii="Arial" w:eastAsia="Cambria" w:hAnsi="Arial" w:cs="Arial"/>
                <w:sz w:val="22"/>
                <w:szCs w:val="22"/>
                <w:lang w:val="es-ES_tradnl" w:eastAsia="en-US"/>
              </w:rPr>
              <w:t xml:space="preserve">. Marlene Ilama, Directora Centro Académico San José </w:t>
            </w:r>
          </w:p>
          <w:p w:rsidR="00664DA9" w:rsidRPr="00664DA9" w:rsidRDefault="00664DA9" w:rsidP="00664DA9">
            <w:pPr>
              <w:tabs>
                <w:tab w:val="right" w:pos="2410"/>
                <w:tab w:val="left" w:pos="2694"/>
              </w:tabs>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 xml:space="preserve"> Máster Roxana Jiménez, Directora Centro Académico de Limón</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Máster Xinia Alfaro, Directora Centro Académico de Alajuela</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MAU. Tatiana Fernández, Directora Oficina de Planificación Institucional</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Ing. Saúl Fernández, Director Oficina de Ingeniería</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Ing. Manuel Centeno, Director Depto. Administración de Mantenimiento</w:t>
            </w:r>
          </w:p>
          <w:p w:rsidR="00664DA9" w:rsidRPr="00664DA9" w:rsidRDefault="00664DA9" w:rsidP="00664DA9">
            <w:pPr>
              <w:ind w:left="45"/>
              <w:jc w:val="both"/>
              <w:rPr>
                <w:rFonts w:ascii="Arial" w:eastAsia="Cambria" w:hAnsi="Arial" w:cs="Arial"/>
                <w:sz w:val="22"/>
                <w:szCs w:val="22"/>
                <w:lang w:val="es-ES_tradnl" w:eastAsia="en-US"/>
              </w:rPr>
            </w:pPr>
            <w:r w:rsidRPr="00664DA9">
              <w:rPr>
                <w:rFonts w:ascii="Arial" w:eastAsia="Cambria" w:hAnsi="Arial" w:cs="Arial"/>
                <w:sz w:val="22"/>
                <w:szCs w:val="22"/>
                <w:lang w:val="es-ES_tradnl" w:eastAsia="en-US"/>
              </w:rPr>
              <w:t>Licda. Kattia Calderón, Directora del Departamento de Aprovisionamiento</w:t>
            </w:r>
          </w:p>
          <w:p w:rsidR="00534B45" w:rsidRPr="00E440CF" w:rsidRDefault="00534B45" w:rsidP="00262711">
            <w:pPr>
              <w:ind w:left="45"/>
              <w:jc w:val="both"/>
              <w:rPr>
                <w:rFonts w:ascii="Arial" w:hAnsi="Arial" w:cs="Arial"/>
                <w:sz w:val="22"/>
                <w:szCs w:val="22"/>
                <w:lang w:val="es-ES_tradnl"/>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262711" w:rsidP="00262711">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D958BC"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dic</w:t>
            </w:r>
            <w:r w:rsidR="00D55B56">
              <w:rPr>
                <w:rFonts w:ascii="Arial" w:eastAsia="Cambria" w:hAnsi="Arial" w:cs="Arial"/>
                <w:b/>
                <w:sz w:val="22"/>
                <w:szCs w:val="22"/>
                <w:lang w:val="es-ES_tradnl" w:eastAsia="en-US"/>
              </w:rPr>
              <w:t>iem</w:t>
            </w:r>
            <w:r w:rsidR="00D958BC" w:rsidRPr="00D958BC">
              <w:rPr>
                <w:rFonts w:ascii="Arial" w:eastAsia="Cambria" w:hAnsi="Arial" w:cs="Arial"/>
                <w:b/>
                <w:sz w:val="22"/>
                <w:szCs w:val="22"/>
                <w:lang w:val="es-ES_tradnl" w:eastAsia="en-US"/>
              </w:rPr>
              <w:t>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Default="00D958BC" w:rsidP="00262711">
            <w:pPr>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262711">
              <w:rPr>
                <w:rFonts w:ascii="Arial" w:eastAsia="Calibri" w:hAnsi="Arial" w:cs="Arial"/>
                <w:b/>
                <w:sz w:val="22"/>
                <w:szCs w:val="22"/>
              </w:rPr>
              <w:t>3004</w:t>
            </w:r>
            <w:r w:rsidRPr="00D958BC">
              <w:rPr>
                <w:rFonts w:ascii="Arial" w:eastAsia="Calibri" w:hAnsi="Arial" w:cs="Arial"/>
                <w:b/>
                <w:sz w:val="22"/>
                <w:szCs w:val="22"/>
              </w:rPr>
              <w:t xml:space="preserve">, Artículo </w:t>
            </w:r>
            <w:r w:rsidR="004F3848">
              <w:rPr>
                <w:rFonts w:ascii="Arial" w:eastAsia="Calibri" w:hAnsi="Arial" w:cs="Arial"/>
                <w:b/>
                <w:sz w:val="22"/>
                <w:szCs w:val="22"/>
              </w:rPr>
              <w:t>8</w:t>
            </w:r>
            <w:r w:rsidRPr="00D958BC">
              <w:rPr>
                <w:rFonts w:ascii="Arial" w:eastAsia="Calibri" w:hAnsi="Arial" w:cs="Arial"/>
                <w:b/>
                <w:sz w:val="22"/>
                <w:szCs w:val="22"/>
              </w:rPr>
              <w:t xml:space="preserve">, del </w:t>
            </w:r>
            <w:r w:rsidR="00262711">
              <w:rPr>
                <w:rFonts w:ascii="Arial" w:eastAsia="Calibri" w:hAnsi="Arial" w:cs="Arial"/>
                <w:b/>
                <w:sz w:val="22"/>
                <w:szCs w:val="22"/>
              </w:rPr>
              <w:t>14</w:t>
            </w:r>
            <w:r w:rsidRPr="00D958BC">
              <w:rPr>
                <w:rFonts w:ascii="Arial" w:eastAsia="Calibri" w:hAnsi="Arial" w:cs="Arial"/>
                <w:b/>
                <w:sz w:val="22"/>
                <w:szCs w:val="22"/>
              </w:rPr>
              <w:t xml:space="preserve"> de </w:t>
            </w:r>
            <w:r w:rsidR="00262711">
              <w:rPr>
                <w:rFonts w:ascii="Arial" w:eastAsia="Calibri" w:hAnsi="Arial" w:cs="Arial"/>
                <w:b/>
                <w:sz w:val="22"/>
                <w:szCs w:val="22"/>
              </w:rPr>
              <w:t>diciembre</w:t>
            </w:r>
            <w:r w:rsidRPr="00D958BC">
              <w:rPr>
                <w:rFonts w:ascii="Arial" w:eastAsia="Calibri" w:hAnsi="Arial" w:cs="Arial"/>
                <w:b/>
                <w:sz w:val="22"/>
                <w:szCs w:val="22"/>
              </w:rPr>
              <w:t xml:space="preserve"> de 2016.   </w:t>
            </w:r>
            <w:r w:rsidR="00262711">
              <w:rPr>
                <w:rFonts w:ascii="Arial" w:eastAsia="Calibri" w:hAnsi="Arial" w:cs="Arial"/>
                <w:b/>
                <w:sz w:val="22"/>
                <w:szCs w:val="22"/>
              </w:rPr>
              <w:t>Modificación del inciso a) del acuerdo de la Sesión No. 2993, Artículo 9, del 12 de octubre de 2016 “Actualización del Proyecto de Mejoramiento Institucional y definición de los límites para la modificación del mismo”</w:t>
            </w:r>
          </w:p>
          <w:p w:rsidR="00262711" w:rsidRDefault="00262711" w:rsidP="00262711">
            <w:pPr>
              <w:jc w:val="both"/>
              <w:rPr>
                <w:rFonts w:ascii="Arial" w:eastAsia="Calibri" w:hAnsi="Arial" w:cs="Arial"/>
                <w:b/>
                <w:sz w:val="22"/>
                <w:szCs w:val="22"/>
              </w:rPr>
            </w:pPr>
          </w:p>
          <w:p w:rsidR="00262711" w:rsidRPr="00D958BC" w:rsidRDefault="00262711" w:rsidP="00262711">
            <w:pPr>
              <w:jc w:val="both"/>
              <w:rPr>
                <w:rFonts w:ascii="Arial" w:eastAsia="Cambria" w:hAnsi="Arial" w:cs="Arial"/>
                <w:b/>
                <w:sz w:val="22"/>
                <w:szCs w:val="22"/>
                <w:highlight w:val="yellow"/>
                <w:lang w:eastAsia="en-US"/>
              </w:rPr>
            </w:pPr>
          </w:p>
        </w:tc>
      </w:tr>
    </w:tbl>
    <w:p w:rsid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E5F1D" w:rsidRDefault="004E5F1D" w:rsidP="00D958BC">
      <w:pPr>
        <w:jc w:val="both"/>
        <w:rPr>
          <w:rFonts w:ascii="Arial" w:eastAsia="Cambria" w:hAnsi="Arial" w:cs="Arial"/>
          <w:lang w:val="es-ES_tradnl" w:eastAsia="en-US"/>
        </w:rPr>
      </w:pPr>
    </w:p>
    <w:p w:rsidR="004F3848" w:rsidRPr="004F3848" w:rsidRDefault="004F3848" w:rsidP="004F3848">
      <w:pPr>
        <w:jc w:val="both"/>
        <w:outlineLvl w:val="0"/>
        <w:rPr>
          <w:rFonts w:ascii="Arial" w:hAnsi="Arial" w:cs="Arial"/>
          <w:b/>
          <w:lang w:val="es-CR"/>
        </w:rPr>
      </w:pPr>
      <w:r w:rsidRPr="004F3848">
        <w:rPr>
          <w:rFonts w:ascii="Arial" w:hAnsi="Arial" w:cs="Arial"/>
          <w:b/>
          <w:lang w:val="es-CR"/>
        </w:rPr>
        <w:t>RESULTANDO QUE:</w:t>
      </w:r>
    </w:p>
    <w:p w:rsidR="004F3848" w:rsidRPr="004F3848" w:rsidRDefault="004F3848" w:rsidP="004F3848">
      <w:pPr>
        <w:jc w:val="both"/>
        <w:outlineLvl w:val="0"/>
        <w:rPr>
          <w:rFonts w:ascii="Arial" w:hAnsi="Arial" w:cs="Arial"/>
          <w:b/>
          <w:lang w:val="es-CR"/>
        </w:rPr>
      </w:pPr>
    </w:p>
    <w:p w:rsidR="004F3848" w:rsidRPr="004F3848" w:rsidRDefault="004F3848" w:rsidP="004F3848">
      <w:pPr>
        <w:numPr>
          <w:ilvl w:val="0"/>
          <w:numId w:val="22"/>
        </w:numPr>
        <w:ind w:left="360"/>
        <w:jc w:val="both"/>
        <w:rPr>
          <w:rFonts w:ascii="Arial" w:hAnsi="Arial" w:cs="Arial"/>
        </w:rPr>
      </w:pPr>
      <w:r w:rsidRPr="004F3848">
        <w:rPr>
          <w:rFonts w:ascii="Arial" w:hAnsi="Arial" w:cs="Arial"/>
          <w:lang w:val="es-CR"/>
        </w:rPr>
        <w:t xml:space="preserve">El Consejo </w:t>
      </w:r>
      <w:r w:rsidRPr="004F3848">
        <w:rPr>
          <w:rFonts w:ascii="Arial" w:hAnsi="Arial" w:cs="Arial"/>
        </w:rPr>
        <w:t xml:space="preserve">Institucional en la Sesión Ordinaria No. 2979, Artículo 8, del 22 de junio de 2016, tomó el acuerdo denominado: </w:t>
      </w:r>
      <w:r w:rsidRPr="004F3848">
        <w:rPr>
          <w:rFonts w:ascii="Arial" w:hAnsi="Arial" w:cs="Arial"/>
          <w:i/>
        </w:rPr>
        <w:t xml:space="preserve">“Actualización del Proyecto de Mejoramiento Institucional y definición de los límites para la modificación del mismo”, </w:t>
      </w:r>
      <w:r w:rsidRPr="004F3848">
        <w:rPr>
          <w:rFonts w:ascii="Arial" w:hAnsi="Arial" w:cs="Arial"/>
        </w:rPr>
        <w:t>en los siguientes términos</w:t>
      </w:r>
      <w:r w:rsidRPr="004F3848">
        <w:rPr>
          <w:rFonts w:ascii="Arial" w:hAnsi="Arial" w:cs="Arial"/>
          <w:i/>
        </w:rPr>
        <w:t>:</w:t>
      </w:r>
    </w:p>
    <w:p w:rsidR="004F3848" w:rsidRPr="004F3848" w:rsidRDefault="004F3848" w:rsidP="004F3848">
      <w:pPr>
        <w:ind w:left="284"/>
        <w:jc w:val="both"/>
        <w:rPr>
          <w:rFonts w:ascii="Arial" w:hAnsi="Arial" w:cs="Arial"/>
          <w:i/>
          <w:sz w:val="22"/>
          <w:szCs w:val="22"/>
        </w:rPr>
      </w:pPr>
    </w:p>
    <w:p w:rsidR="004F3848" w:rsidRPr="004F3848" w:rsidRDefault="004F3848" w:rsidP="004F3848">
      <w:pPr>
        <w:ind w:left="993" w:right="425" w:hanging="502"/>
        <w:jc w:val="both"/>
        <w:rPr>
          <w:rFonts w:ascii="Arial" w:hAnsi="Arial" w:cs="Arial"/>
          <w:i/>
          <w:sz w:val="22"/>
          <w:szCs w:val="20"/>
        </w:rPr>
      </w:pPr>
      <w:r w:rsidRPr="004F3848">
        <w:rPr>
          <w:rFonts w:ascii="Arial" w:hAnsi="Arial" w:cs="Arial"/>
          <w:i/>
          <w:sz w:val="22"/>
          <w:szCs w:val="20"/>
        </w:rPr>
        <w:t>“d</w:t>
      </w:r>
      <w:proofErr w:type="gramStart"/>
      <w:r w:rsidRPr="004F3848">
        <w:rPr>
          <w:rFonts w:ascii="Arial" w:hAnsi="Arial" w:cs="Arial"/>
          <w:i/>
          <w:sz w:val="22"/>
          <w:szCs w:val="20"/>
        </w:rPr>
        <w:t>.  Autorizar</w:t>
      </w:r>
      <w:proofErr w:type="gramEnd"/>
      <w:r w:rsidRPr="004F3848">
        <w:rPr>
          <w:rFonts w:ascii="Arial" w:hAnsi="Arial" w:cs="Arial"/>
          <w:i/>
          <w:sz w:val="22"/>
          <w:szCs w:val="20"/>
        </w:rPr>
        <w:t xml:space="preserve"> a la Administración realizar modificaciones sobre los proyectos del Plan de Mejoramiento Institucional (PMI), según el siguiente detalle:</w:t>
      </w:r>
    </w:p>
    <w:p w:rsidR="004F3848" w:rsidRPr="004F3848" w:rsidRDefault="004F3848" w:rsidP="004F3848">
      <w:pPr>
        <w:ind w:left="207"/>
        <w:jc w:val="both"/>
        <w:rPr>
          <w:rFonts w:ascii="Arial" w:hAnsi="Arial" w:cs="Arial"/>
          <w:i/>
          <w:sz w:val="22"/>
          <w:szCs w:val="20"/>
          <w:lang w:val="es-CR"/>
        </w:rPr>
      </w:pPr>
    </w:p>
    <w:p w:rsidR="004F3848" w:rsidRPr="004F3848" w:rsidRDefault="004F3848" w:rsidP="004F3848">
      <w:pPr>
        <w:numPr>
          <w:ilvl w:val="0"/>
          <w:numId w:val="23"/>
        </w:numPr>
        <w:ind w:left="1386" w:right="425"/>
        <w:jc w:val="both"/>
        <w:rPr>
          <w:rFonts w:ascii="Arial" w:hAnsi="Arial" w:cs="Arial"/>
          <w:i/>
          <w:sz w:val="22"/>
          <w:szCs w:val="20"/>
          <w:lang w:val="es-CR"/>
        </w:rPr>
      </w:pPr>
      <w:r w:rsidRPr="004F3848">
        <w:rPr>
          <w:rFonts w:ascii="Arial" w:hAnsi="Arial" w:cs="Arial"/>
          <w:i/>
          <w:sz w:val="22"/>
          <w:szCs w:val="20"/>
          <w:lang w:val="es-CR"/>
        </w:rPr>
        <w:t>Autorizar a la Administración para modificar las iniciativas de infraestructura de acuerdo al monto adjudicado dentro de cada iniciativa, hasta por un máximo de un 15%, que corresponde a los imprevistos (5%) y escalamientos (10%). Si se supera el porcentaje establecido debe ser aprobado por el Consejo Institucional.</w:t>
      </w:r>
    </w:p>
    <w:p w:rsidR="004F3848" w:rsidRPr="004F3848" w:rsidRDefault="004F3848" w:rsidP="004F3848">
      <w:pPr>
        <w:ind w:left="1386" w:right="425"/>
        <w:rPr>
          <w:rFonts w:ascii="Arial" w:hAnsi="Arial" w:cs="Arial"/>
          <w:i/>
          <w:sz w:val="22"/>
          <w:szCs w:val="20"/>
          <w:lang w:val="es-CR"/>
        </w:rPr>
      </w:pPr>
    </w:p>
    <w:p w:rsidR="004F3848" w:rsidRPr="004F3848" w:rsidRDefault="004F3848" w:rsidP="004F3848">
      <w:pPr>
        <w:numPr>
          <w:ilvl w:val="0"/>
          <w:numId w:val="23"/>
        </w:numPr>
        <w:ind w:left="1386" w:right="425"/>
        <w:jc w:val="both"/>
        <w:rPr>
          <w:rFonts w:ascii="Arial" w:hAnsi="Arial" w:cs="Arial"/>
          <w:i/>
          <w:sz w:val="22"/>
          <w:szCs w:val="20"/>
          <w:lang w:val="es-CR"/>
        </w:rPr>
      </w:pPr>
      <w:r w:rsidRPr="004F3848">
        <w:rPr>
          <w:rFonts w:ascii="Arial" w:hAnsi="Arial" w:cs="Arial"/>
          <w:i/>
          <w:sz w:val="22"/>
          <w:szCs w:val="20"/>
          <w:lang w:val="es-CR"/>
        </w:rPr>
        <w:t>En el caso de que los procesos de adquisición de mobiliario y equipo excedan el monto presupuestado en el inciso c. de este acuerdo, se autoriza a la Administración a proceder de acuerdo a los siguientes rangos:</w:t>
      </w:r>
    </w:p>
    <w:p w:rsidR="004F3848" w:rsidRPr="004F3848" w:rsidRDefault="004F3848" w:rsidP="004F3848">
      <w:pPr>
        <w:ind w:left="993"/>
        <w:jc w:val="both"/>
        <w:rPr>
          <w:rFonts w:ascii="Arial" w:hAnsi="Arial" w:cs="Arial"/>
          <w:i/>
          <w:sz w:val="22"/>
          <w:szCs w:val="20"/>
          <w:lang w:val="es-CR"/>
        </w:rPr>
      </w:pPr>
    </w:p>
    <w:p w:rsidR="004F3848" w:rsidRPr="004F3848" w:rsidRDefault="004F3848" w:rsidP="004F3848">
      <w:pPr>
        <w:numPr>
          <w:ilvl w:val="1"/>
          <w:numId w:val="23"/>
        </w:numPr>
        <w:ind w:left="1985" w:right="708"/>
        <w:jc w:val="both"/>
        <w:rPr>
          <w:rFonts w:ascii="Arial" w:hAnsi="Arial" w:cs="Arial"/>
          <w:i/>
          <w:sz w:val="22"/>
          <w:szCs w:val="22"/>
          <w:lang w:val="es-CR"/>
        </w:rPr>
      </w:pPr>
      <w:r w:rsidRPr="004F3848">
        <w:rPr>
          <w:rFonts w:ascii="Arial" w:hAnsi="Arial" w:cs="Arial"/>
          <w:i/>
          <w:sz w:val="22"/>
          <w:szCs w:val="22"/>
          <w:lang w:val="es-CR"/>
        </w:rPr>
        <w:t>Autorizar a la Administración a tomar del remanente hasta un monto máximo de 15% del presupuesto en mobiliario y equipo de la misma iniciativa.</w:t>
      </w:r>
    </w:p>
    <w:p w:rsidR="004F3848" w:rsidRPr="004F3848" w:rsidRDefault="004F3848" w:rsidP="004F3848">
      <w:pPr>
        <w:ind w:left="1985" w:right="708"/>
        <w:jc w:val="both"/>
        <w:rPr>
          <w:rFonts w:ascii="Arial" w:hAnsi="Arial" w:cs="Arial"/>
          <w:i/>
          <w:sz w:val="22"/>
          <w:szCs w:val="22"/>
          <w:lang w:val="es-CR"/>
        </w:rPr>
      </w:pPr>
    </w:p>
    <w:p w:rsidR="004F3848" w:rsidRPr="004F3848" w:rsidRDefault="004F3848" w:rsidP="004F3848">
      <w:pPr>
        <w:numPr>
          <w:ilvl w:val="1"/>
          <w:numId w:val="23"/>
        </w:numPr>
        <w:ind w:left="1985" w:right="708"/>
        <w:jc w:val="both"/>
        <w:rPr>
          <w:rFonts w:ascii="Arial" w:hAnsi="Arial" w:cs="Arial"/>
          <w:i/>
          <w:sz w:val="22"/>
          <w:szCs w:val="22"/>
          <w:lang w:val="es-CR"/>
        </w:rPr>
      </w:pPr>
      <w:r w:rsidRPr="004F3848">
        <w:rPr>
          <w:rFonts w:ascii="Arial" w:hAnsi="Arial" w:cs="Arial"/>
          <w:i/>
          <w:sz w:val="22"/>
          <w:szCs w:val="22"/>
          <w:lang w:val="es-CR"/>
        </w:rPr>
        <w:t xml:space="preserve">Para los casos superiores al 15% o </w:t>
      </w:r>
      <w:r w:rsidRPr="004F3848">
        <w:rPr>
          <w:rFonts w:ascii="Arial" w:hAnsi="Arial" w:cs="Arial"/>
          <w:b/>
          <w:i/>
          <w:sz w:val="22"/>
          <w:szCs w:val="22"/>
          <w:lang w:val="es-CR"/>
        </w:rPr>
        <w:t>que se requiera tomar del remanente de otras iniciativas, deberá de contarse con la autorización del Consejo Institucional.</w:t>
      </w:r>
      <w:r w:rsidRPr="004F3848">
        <w:rPr>
          <w:rFonts w:ascii="Arial" w:hAnsi="Arial" w:cs="Arial"/>
          <w:i/>
          <w:sz w:val="22"/>
          <w:szCs w:val="22"/>
          <w:lang w:val="es-CR"/>
        </w:rPr>
        <w:t>”</w:t>
      </w:r>
    </w:p>
    <w:p w:rsidR="004F3848" w:rsidRPr="004F3848" w:rsidRDefault="004F3848" w:rsidP="004F3848">
      <w:pPr>
        <w:ind w:left="1985" w:right="708"/>
        <w:jc w:val="both"/>
        <w:rPr>
          <w:rFonts w:ascii="Arial" w:hAnsi="Arial" w:cs="Arial"/>
          <w:i/>
          <w:sz w:val="22"/>
          <w:szCs w:val="22"/>
          <w:lang w:val="es-CR"/>
        </w:rPr>
      </w:pPr>
      <w:r w:rsidRPr="004F3848">
        <w:rPr>
          <w:rFonts w:ascii="Arial" w:hAnsi="Arial" w:cs="Arial"/>
          <w:i/>
          <w:sz w:val="22"/>
          <w:szCs w:val="22"/>
          <w:lang w:val="es-CR"/>
        </w:rPr>
        <w:t xml:space="preserve"> (El resaltado no es del original)</w:t>
      </w:r>
    </w:p>
    <w:p w:rsidR="004F3848" w:rsidRPr="004F3848" w:rsidRDefault="004F3848" w:rsidP="004F3848">
      <w:pPr>
        <w:jc w:val="both"/>
        <w:rPr>
          <w:rFonts w:ascii="Arial" w:hAnsi="Arial" w:cs="Arial"/>
          <w:sz w:val="20"/>
          <w:szCs w:val="20"/>
          <w:lang w:val="es-CR"/>
        </w:rPr>
      </w:pPr>
    </w:p>
    <w:p w:rsidR="004F3848" w:rsidRPr="004F3848" w:rsidRDefault="004F3848" w:rsidP="004F3848">
      <w:pPr>
        <w:numPr>
          <w:ilvl w:val="0"/>
          <w:numId w:val="22"/>
        </w:numPr>
        <w:ind w:left="360"/>
        <w:jc w:val="both"/>
        <w:rPr>
          <w:rFonts w:ascii="Arial" w:hAnsi="Arial" w:cs="Arial"/>
          <w:lang w:val="es-CR"/>
        </w:rPr>
      </w:pPr>
      <w:r w:rsidRPr="004F3848">
        <w:rPr>
          <w:rFonts w:ascii="Arial" w:hAnsi="Arial" w:cs="Arial"/>
          <w:lang w:val="es-CR"/>
        </w:rPr>
        <w:t xml:space="preserve">El Consejo Institucional en la Sesión Ordinaria No 2993, Artículo 9, del 12 de octubre de 2016, aprobó una redistribución de fondos del financiamiento del PMI por medio del acuerdo denominado: “Modificación del inciso c) del acuerdo del Consejo Institucional, Sesión No. 2979, Artículo 8, del 22 de junio de 2016. Actualización del Proyecto de Mejoramiento Institucional y definición de los límites para la modificación del mismo”; en los siguientes términos </w:t>
      </w:r>
    </w:p>
    <w:p w:rsidR="004F3848" w:rsidRPr="004F3848" w:rsidRDefault="004F3848" w:rsidP="004F3848">
      <w:pPr>
        <w:jc w:val="both"/>
        <w:rPr>
          <w:rFonts w:ascii="Arial" w:hAnsi="Arial" w:cs="Arial"/>
          <w:sz w:val="20"/>
          <w:szCs w:val="20"/>
          <w:lang w:val="es-CR"/>
        </w:rPr>
      </w:pPr>
    </w:p>
    <w:p w:rsidR="004F3848" w:rsidRPr="004F3848" w:rsidRDefault="004F3848" w:rsidP="004F3848">
      <w:pPr>
        <w:ind w:left="1134" w:right="708" w:hanging="360"/>
        <w:jc w:val="both"/>
        <w:rPr>
          <w:rFonts w:ascii="Arial" w:hAnsi="Arial" w:cs="Arial"/>
          <w:i/>
          <w:sz w:val="22"/>
          <w:szCs w:val="22"/>
          <w:lang w:val="es-CR"/>
        </w:rPr>
      </w:pPr>
      <w:r w:rsidRPr="004F3848">
        <w:rPr>
          <w:rFonts w:ascii="Arial" w:hAnsi="Arial" w:cs="Arial"/>
          <w:i/>
          <w:sz w:val="22"/>
          <w:szCs w:val="22"/>
          <w:lang w:val="es-CR"/>
        </w:rPr>
        <w:t xml:space="preserve">“c.   Modificar el inciso c) </w:t>
      </w:r>
      <w:proofErr w:type="gramStart"/>
      <w:r w:rsidRPr="004F3848">
        <w:rPr>
          <w:rFonts w:ascii="Arial" w:hAnsi="Arial" w:cs="Arial"/>
          <w:i/>
          <w:sz w:val="22"/>
          <w:szCs w:val="22"/>
          <w:lang w:val="es-CR"/>
        </w:rPr>
        <w:t>del  acuerdo</w:t>
      </w:r>
      <w:proofErr w:type="gramEnd"/>
      <w:r w:rsidRPr="004F3848">
        <w:rPr>
          <w:rFonts w:ascii="Arial" w:hAnsi="Arial" w:cs="Arial"/>
          <w:i/>
          <w:sz w:val="22"/>
          <w:szCs w:val="22"/>
          <w:lang w:val="es-CR"/>
        </w:rPr>
        <w:t xml:space="preserve"> del Consejo Institucional, Sesión No. 2979, Artículo 8, del 22 de junio de 2016: “Actualización del Proyecto de Mejoramiento Institucional y definición de los límites para la modificación del mismo”, con el fin de actualizar la tabla de distribución de los proyectos del Banco Mundial según el siguiente detalle:</w:t>
      </w:r>
    </w:p>
    <w:p w:rsidR="004F3848" w:rsidRPr="004F3848" w:rsidRDefault="004F3848" w:rsidP="00160BC2">
      <w:pPr>
        <w:jc w:val="both"/>
        <w:rPr>
          <w:rFonts w:ascii="Arial" w:hAnsi="Arial" w:cs="Arial"/>
          <w:i/>
          <w:sz w:val="22"/>
          <w:szCs w:val="20"/>
          <w:lang w:val="es-CR"/>
        </w:rPr>
      </w:pPr>
    </w:p>
    <w:p w:rsidR="004F3848" w:rsidRPr="004F3848" w:rsidRDefault="004F3848" w:rsidP="004F3848">
      <w:pPr>
        <w:ind w:left="284"/>
        <w:jc w:val="both"/>
        <w:rPr>
          <w:rFonts w:ascii="Arial" w:hAnsi="Arial" w:cs="Arial"/>
          <w:b/>
          <w:i/>
          <w:sz w:val="22"/>
          <w:szCs w:val="20"/>
          <w:lang w:val="es-CR"/>
        </w:rPr>
      </w:pPr>
      <w:r w:rsidRPr="004F3848">
        <w:rPr>
          <w:rFonts w:ascii="Arial" w:hAnsi="Arial" w:cs="Arial"/>
          <w:b/>
          <w:i/>
          <w:sz w:val="22"/>
          <w:szCs w:val="20"/>
          <w:lang w:val="es-CR"/>
        </w:rPr>
        <w:t>DISTRIBUCIÓN FONDOS DE FINANCIAMIENTO PMI-ITCR</w:t>
      </w:r>
    </w:p>
    <w:tbl>
      <w:tblPr>
        <w:tblW w:w="5077" w:type="pct"/>
        <w:tblLayout w:type="fixed"/>
        <w:tblCellMar>
          <w:left w:w="70" w:type="dxa"/>
          <w:right w:w="70" w:type="dxa"/>
        </w:tblCellMar>
        <w:tblLook w:val="04A0" w:firstRow="1" w:lastRow="0" w:firstColumn="1" w:lastColumn="0" w:noHBand="0" w:noVBand="1"/>
      </w:tblPr>
      <w:tblGrid>
        <w:gridCol w:w="260"/>
        <w:gridCol w:w="2436"/>
        <w:gridCol w:w="1233"/>
        <w:gridCol w:w="916"/>
        <w:gridCol w:w="927"/>
        <w:gridCol w:w="994"/>
        <w:gridCol w:w="1082"/>
        <w:gridCol w:w="1352"/>
      </w:tblGrid>
      <w:tr w:rsidR="004F3848" w:rsidRPr="004F3848" w:rsidTr="00CC32A8">
        <w:trPr>
          <w:trHeight w:val="300"/>
        </w:trPr>
        <w:tc>
          <w:tcPr>
            <w:tcW w:w="141" w:type="pct"/>
            <w:vMerge w:val="restart"/>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jc w:val="center"/>
              <w:rPr>
                <w:rFonts w:ascii="Arial" w:hAnsi="Arial" w:cs="Arial"/>
                <w:b/>
                <w:bCs/>
                <w:i/>
                <w:sz w:val="16"/>
                <w:szCs w:val="20"/>
                <w:lang w:val="es-CR"/>
              </w:rPr>
            </w:pPr>
            <w:r w:rsidRPr="004F3848">
              <w:rPr>
                <w:rFonts w:ascii="Arial" w:hAnsi="Arial" w:cs="Arial"/>
                <w:b/>
                <w:bCs/>
                <w:i/>
                <w:sz w:val="16"/>
                <w:szCs w:val="20"/>
                <w:lang w:val="es-CR"/>
              </w:rPr>
              <w:t>#</w:t>
            </w:r>
          </w:p>
        </w:tc>
        <w:tc>
          <w:tcPr>
            <w:tcW w:w="1324" w:type="pct"/>
            <w:vMerge w:val="restart"/>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ind w:left="34"/>
              <w:jc w:val="center"/>
              <w:rPr>
                <w:rFonts w:ascii="Arial" w:hAnsi="Arial" w:cs="Arial"/>
                <w:b/>
                <w:bCs/>
                <w:i/>
                <w:sz w:val="16"/>
                <w:szCs w:val="20"/>
                <w:lang w:val="es-CR"/>
              </w:rPr>
            </w:pPr>
            <w:r w:rsidRPr="004F3848">
              <w:rPr>
                <w:rFonts w:ascii="Arial" w:hAnsi="Arial" w:cs="Arial"/>
                <w:b/>
                <w:bCs/>
                <w:i/>
                <w:sz w:val="16"/>
                <w:szCs w:val="20"/>
                <w:lang w:val="es-CR"/>
              </w:rPr>
              <w:t>Nombre de la iniciativa</w:t>
            </w:r>
          </w:p>
        </w:tc>
        <w:tc>
          <w:tcPr>
            <w:tcW w:w="2800" w:type="pct"/>
            <w:gridSpan w:val="5"/>
            <w:vMerge w:val="restart"/>
            <w:tcBorders>
              <w:top w:val="single" w:sz="4" w:space="0" w:color="auto"/>
              <w:left w:val="single" w:sz="4" w:space="0" w:color="auto"/>
              <w:bottom w:val="single" w:sz="4" w:space="0" w:color="000000"/>
              <w:right w:val="single" w:sz="4" w:space="0" w:color="000000"/>
            </w:tcBorders>
            <w:shd w:val="clear" w:color="000000" w:fill="8EA9DB"/>
            <w:vAlign w:val="bottom"/>
            <w:hideMark/>
          </w:tcPr>
          <w:p w:rsidR="004F3848" w:rsidRPr="004F3848" w:rsidRDefault="004F3848" w:rsidP="004F3848">
            <w:pPr>
              <w:ind w:left="284"/>
              <w:jc w:val="both"/>
              <w:rPr>
                <w:rFonts w:ascii="Arial" w:hAnsi="Arial" w:cs="Arial"/>
                <w:b/>
                <w:bCs/>
                <w:i/>
                <w:sz w:val="16"/>
                <w:szCs w:val="20"/>
                <w:lang w:val="es-CR"/>
              </w:rPr>
            </w:pPr>
            <w:r w:rsidRPr="004F3848">
              <w:rPr>
                <w:rFonts w:ascii="Arial" w:hAnsi="Arial" w:cs="Arial"/>
                <w:b/>
                <w:bCs/>
                <w:i/>
                <w:sz w:val="16"/>
                <w:szCs w:val="20"/>
                <w:lang w:val="es-CR"/>
              </w:rPr>
              <w:t>PMI PROPUESTO FINANCIAMIENTO EXTERNO</w:t>
            </w:r>
            <w:r w:rsidRPr="004F3848">
              <w:rPr>
                <w:rFonts w:ascii="Arial" w:hAnsi="Arial" w:cs="Arial"/>
                <w:b/>
                <w:bCs/>
                <w:i/>
                <w:sz w:val="16"/>
                <w:szCs w:val="20"/>
                <w:lang w:val="es-CR"/>
              </w:rPr>
              <w:br/>
              <w:t>NUEVO MONTOS (US$)</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17365D"/>
            <w:noWrap/>
            <w:vAlign w:val="center"/>
            <w:hideMark/>
          </w:tcPr>
          <w:p w:rsidR="004F3848" w:rsidRPr="004F3848" w:rsidRDefault="004F3848" w:rsidP="004F3848">
            <w:pPr>
              <w:ind w:left="284"/>
              <w:jc w:val="both"/>
              <w:rPr>
                <w:rFonts w:ascii="Arial" w:hAnsi="Arial" w:cs="Arial"/>
                <w:b/>
                <w:bCs/>
                <w:i/>
                <w:sz w:val="16"/>
                <w:szCs w:val="20"/>
                <w:lang w:val="es-CR"/>
              </w:rPr>
            </w:pPr>
            <w:r w:rsidRPr="004F3848">
              <w:rPr>
                <w:rFonts w:ascii="Arial" w:hAnsi="Arial" w:cs="Arial"/>
                <w:b/>
                <w:bCs/>
                <w:i/>
                <w:sz w:val="16"/>
                <w:szCs w:val="20"/>
                <w:lang w:val="es-CR"/>
              </w:rPr>
              <w:t>Remanente/faltante</w:t>
            </w:r>
          </w:p>
        </w:tc>
      </w:tr>
      <w:tr w:rsidR="004F3848" w:rsidRPr="004F3848" w:rsidTr="00CC32A8">
        <w:trPr>
          <w:trHeight w:val="300"/>
        </w:trPr>
        <w:tc>
          <w:tcPr>
            <w:tcW w:w="141" w:type="pct"/>
            <w:vMerge/>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jc w:val="center"/>
              <w:rPr>
                <w:rFonts w:ascii="Arial" w:hAnsi="Arial" w:cs="Arial"/>
                <w:b/>
                <w:bCs/>
                <w:i/>
                <w:sz w:val="16"/>
                <w:szCs w:val="20"/>
                <w:lang w:val="es-CR"/>
              </w:rPr>
            </w:pPr>
          </w:p>
        </w:tc>
        <w:tc>
          <w:tcPr>
            <w:tcW w:w="1324" w:type="pct"/>
            <w:vMerge/>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ind w:left="284"/>
              <w:jc w:val="both"/>
              <w:rPr>
                <w:rFonts w:ascii="Arial" w:hAnsi="Arial" w:cs="Arial"/>
                <w:b/>
                <w:bCs/>
                <w:i/>
                <w:sz w:val="16"/>
                <w:szCs w:val="20"/>
                <w:lang w:val="es-CR"/>
              </w:rPr>
            </w:pPr>
          </w:p>
        </w:tc>
        <w:tc>
          <w:tcPr>
            <w:tcW w:w="2800" w:type="pct"/>
            <w:gridSpan w:val="5"/>
            <w:vMerge/>
            <w:tcBorders>
              <w:top w:val="single" w:sz="4" w:space="0" w:color="auto"/>
              <w:left w:val="single" w:sz="4" w:space="0" w:color="auto"/>
              <w:bottom w:val="single" w:sz="4" w:space="0" w:color="000000"/>
              <w:right w:val="single" w:sz="4" w:space="0" w:color="000000"/>
            </w:tcBorders>
            <w:vAlign w:val="center"/>
            <w:hideMark/>
          </w:tcPr>
          <w:p w:rsidR="004F3848" w:rsidRPr="004F3848" w:rsidRDefault="004F3848" w:rsidP="004F3848">
            <w:pPr>
              <w:ind w:left="284"/>
              <w:jc w:val="both"/>
              <w:rPr>
                <w:rFonts w:ascii="Arial" w:hAnsi="Arial" w:cs="Arial"/>
                <w:b/>
                <w:bCs/>
                <w:i/>
                <w:sz w:val="16"/>
                <w:szCs w:val="20"/>
                <w:lang w:val="es-CR"/>
              </w:rPr>
            </w:pPr>
          </w:p>
        </w:tc>
        <w:tc>
          <w:tcPr>
            <w:tcW w:w="735" w:type="pct"/>
            <w:vMerge/>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ind w:left="284"/>
              <w:jc w:val="both"/>
              <w:rPr>
                <w:rFonts w:ascii="Arial" w:hAnsi="Arial" w:cs="Arial"/>
                <w:b/>
                <w:bCs/>
                <w:i/>
                <w:sz w:val="16"/>
                <w:szCs w:val="20"/>
                <w:lang w:val="es-CR"/>
              </w:rPr>
            </w:pPr>
          </w:p>
        </w:tc>
      </w:tr>
      <w:tr w:rsidR="004F3848" w:rsidRPr="004F3848" w:rsidTr="00CC32A8">
        <w:trPr>
          <w:trHeight w:val="900"/>
        </w:trPr>
        <w:tc>
          <w:tcPr>
            <w:tcW w:w="141" w:type="pct"/>
            <w:vMerge/>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jc w:val="center"/>
              <w:rPr>
                <w:rFonts w:ascii="Arial" w:hAnsi="Arial" w:cs="Arial"/>
                <w:b/>
                <w:bCs/>
                <w:i/>
                <w:sz w:val="16"/>
                <w:szCs w:val="20"/>
                <w:lang w:val="es-CR"/>
              </w:rPr>
            </w:pPr>
          </w:p>
        </w:tc>
        <w:tc>
          <w:tcPr>
            <w:tcW w:w="1324" w:type="pct"/>
            <w:vMerge/>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ind w:left="284"/>
              <w:jc w:val="both"/>
              <w:rPr>
                <w:rFonts w:ascii="Arial" w:hAnsi="Arial" w:cs="Arial"/>
                <w:b/>
                <w:bCs/>
                <w:i/>
                <w:sz w:val="16"/>
                <w:szCs w:val="20"/>
                <w:lang w:val="es-CR"/>
              </w:rPr>
            </w:pPr>
          </w:p>
        </w:tc>
        <w:tc>
          <w:tcPr>
            <w:tcW w:w="670"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ind w:right="433"/>
              <w:jc w:val="center"/>
              <w:rPr>
                <w:rFonts w:ascii="Arial" w:hAnsi="Arial" w:cs="Arial"/>
                <w:b/>
                <w:bCs/>
                <w:i/>
                <w:sz w:val="16"/>
                <w:szCs w:val="20"/>
                <w:lang w:val="es-CR"/>
              </w:rPr>
            </w:pPr>
            <w:r w:rsidRPr="004F3848">
              <w:rPr>
                <w:rFonts w:ascii="Arial" w:hAnsi="Arial" w:cs="Arial"/>
                <w:b/>
                <w:bCs/>
                <w:i/>
                <w:sz w:val="16"/>
                <w:szCs w:val="20"/>
                <w:lang w:val="es-CR"/>
              </w:rPr>
              <w:t>Infraestructura</w:t>
            </w:r>
          </w:p>
        </w:tc>
        <w:tc>
          <w:tcPr>
            <w:tcW w:w="498"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ind w:left="56"/>
              <w:jc w:val="center"/>
              <w:rPr>
                <w:rFonts w:ascii="Arial" w:hAnsi="Arial" w:cs="Arial"/>
                <w:b/>
                <w:bCs/>
                <w:i/>
                <w:sz w:val="16"/>
                <w:szCs w:val="20"/>
                <w:lang w:val="es-CR"/>
              </w:rPr>
            </w:pPr>
            <w:r w:rsidRPr="004F3848">
              <w:rPr>
                <w:rFonts w:ascii="Arial" w:hAnsi="Arial" w:cs="Arial"/>
                <w:b/>
                <w:bCs/>
                <w:i/>
                <w:sz w:val="16"/>
                <w:szCs w:val="20"/>
                <w:lang w:val="es-CR"/>
              </w:rPr>
              <w:t>Equipamiento</w:t>
            </w:r>
          </w:p>
        </w:tc>
        <w:tc>
          <w:tcPr>
            <w:tcW w:w="504"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ind w:left="284"/>
              <w:jc w:val="center"/>
              <w:rPr>
                <w:rFonts w:ascii="Arial" w:hAnsi="Arial" w:cs="Arial"/>
                <w:b/>
                <w:bCs/>
                <w:i/>
                <w:sz w:val="16"/>
                <w:szCs w:val="20"/>
                <w:lang w:val="es-CR"/>
              </w:rPr>
            </w:pPr>
            <w:r w:rsidRPr="004F3848">
              <w:rPr>
                <w:rFonts w:ascii="Arial" w:hAnsi="Arial" w:cs="Arial"/>
                <w:b/>
                <w:bCs/>
                <w:i/>
                <w:sz w:val="16"/>
                <w:szCs w:val="20"/>
                <w:lang w:val="es-CR"/>
              </w:rPr>
              <w:t>Sistemas adjudicado</w:t>
            </w:r>
          </w:p>
        </w:tc>
        <w:tc>
          <w:tcPr>
            <w:tcW w:w="540"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ind w:left="284"/>
              <w:jc w:val="center"/>
              <w:rPr>
                <w:rFonts w:ascii="Arial" w:hAnsi="Arial" w:cs="Arial"/>
                <w:b/>
                <w:bCs/>
                <w:i/>
                <w:sz w:val="16"/>
                <w:szCs w:val="20"/>
                <w:lang w:val="es-CR"/>
              </w:rPr>
            </w:pPr>
            <w:r w:rsidRPr="004F3848">
              <w:rPr>
                <w:rFonts w:ascii="Arial" w:hAnsi="Arial" w:cs="Arial"/>
                <w:b/>
                <w:bCs/>
                <w:i/>
                <w:sz w:val="16"/>
                <w:szCs w:val="20"/>
                <w:lang w:val="es-CR"/>
              </w:rPr>
              <w:t>Becas</w:t>
            </w:r>
          </w:p>
        </w:tc>
        <w:tc>
          <w:tcPr>
            <w:tcW w:w="588"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ind w:left="284"/>
              <w:jc w:val="center"/>
              <w:rPr>
                <w:rFonts w:ascii="Arial" w:hAnsi="Arial" w:cs="Arial"/>
                <w:b/>
                <w:bCs/>
                <w:i/>
                <w:sz w:val="16"/>
                <w:szCs w:val="20"/>
                <w:lang w:val="es-CR"/>
              </w:rPr>
            </w:pPr>
            <w:r w:rsidRPr="004F3848">
              <w:rPr>
                <w:rFonts w:ascii="Arial" w:hAnsi="Arial" w:cs="Arial"/>
                <w:b/>
                <w:bCs/>
                <w:i/>
                <w:sz w:val="16"/>
                <w:szCs w:val="20"/>
                <w:lang w:val="es-CR"/>
              </w:rPr>
              <w:t>TOTAL comprometido</w:t>
            </w:r>
          </w:p>
          <w:p w:rsidR="004F3848" w:rsidRPr="004F3848" w:rsidRDefault="004F3848" w:rsidP="004F3848">
            <w:pPr>
              <w:ind w:left="284"/>
              <w:jc w:val="center"/>
              <w:rPr>
                <w:rFonts w:ascii="Arial" w:hAnsi="Arial" w:cs="Arial"/>
                <w:b/>
                <w:bCs/>
                <w:i/>
                <w:sz w:val="16"/>
                <w:szCs w:val="20"/>
                <w:lang w:val="es-CR"/>
              </w:rPr>
            </w:pPr>
            <w:r w:rsidRPr="004F3848">
              <w:rPr>
                <w:rFonts w:ascii="Arial" w:hAnsi="Arial" w:cs="Arial"/>
                <w:b/>
                <w:bCs/>
                <w:i/>
                <w:sz w:val="16"/>
                <w:szCs w:val="20"/>
                <w:lang w:val="es-CR"/>
              </w:rPr>
              <w:t>+estimado</w:t>
            </w:r>
          </w:p>
        </w:tc>
        <w:tc>
          <w:tcPr>
            <w:tcW w:w="735" w:type="pct"/>
            <w:tcBorders>
              <w:top w:val="single" w:sz="4" w:space="0" w:color="auto"/>
              <w:left w:val="single" w:sz="4" w:space="0" w:color="auto"/>
              <w:bottom w:val="single" w:sz="4" w:space="0" w:color="000000"/>
              <w:right w:val="single" w:sz="4" w:space="0" w:color="auto"/>
            </w:tcBorders>
            <w:shd w:val="clear" w:color="auto" w:fill="17365D"/>
            <w:vAlign w:val="center"/>
            <w:hideMark/>
          </w:tcPr>
          <w:p w:rsidR="004F3848" w:rsidRPr="004F3848" w:rsidRDefault="004F3848" w:rsidP="004F3848">
            <w:pPr>
              <w:ind w:left="284"/>
              <w:jc w:val="both"/>
              <w:rPr>
                <w:rFonts w:ascii="Arial" w:hAnsi="Arial" w:cs="Arial"/>
                <w:b/>
                <w:bCs/>
                <w:i/>
                <w:sz w:val="16"/>
                <w:szCs w:val="20"/>
                <w:lang w:val="es-CR"/>
              </w:rPr>
            </w:pP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1</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Residencias estudiantiles</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6.097.895,48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500.000,00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6.597.895,48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88.763,35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2</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Comedor estudiantil</w:t>
            </w:r>
          </w:p>
        </w:tc>
        <w:tc>
          <w:tcPr>
            <w:tcW w:w="67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3.190.223,57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3.190.223,57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502.462,43 </w:t>
            </w:r>
          </w:p>
        </w:tc>
      </w:tr>
      <w:tr w:rsidR="004F3848" w:rsidRPr="004F3848" w:rsidTr="00CC32A8">
        <w:trPr>
          <w:trHeight w:val="6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3</w:t>
            </w:r>
          </w:p>
        </w:tc>
        <w:tc>
          <w:tcPr>
            <w:tcW w:w="1324"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Núcleo de Tecnologías de Información y Comunicación</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7.102.869,91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1.228.000,00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8.330.869,91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17.012,72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4</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rPr>
                <w:rFonts w:ascii="Arial" w:hAnsi="Arial" w:cs="Arial"/>
                <w:i/>
                <w:sz w:val="16"/>
                <w:szCs w:val="20"/>
                <w:lang w:val="es-CR"/>
              </w:rPr>
            </w:pPr>
            <w:r w:rsidRPr="004F3848">
              <w:rPr>
                <w:rFonts w:ascii="Arial" w:hAnsi="Arial" w:cs="Arial"/>
                <w:i/>
                <w:sz w:val="16"/>
                <w:szCs w:val="20"/>
                <w:lang w:val="es-CR"/>
              </w:rPr>
              <w:t>Núcleo Integrado de Seguridad Laboral</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1.852.802,65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300.000,00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2.152.802,65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31.160,87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5</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Sistema de Gestión e Información</w:t>
            </w:r>
          </w:p>
        </w:tc>
        <w:tc>
          <w:tcPr>
            <w:tcW w:w="67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0,00 </w:t>
            </w:r>
          </w:p>
        </w:tc>
        <w:tc>
          <w:tcPr>
            <w:tcW w:w="504"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927.611,70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927.611,70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6</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Formación académica de profesores</w:t>
            </w:r>
          </w:p>
        </w:tc>
        <w:tc>
          <w:tcPr>
            <w:tcW w:w="67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117"/>
              <w:jc w:val="right"/>
              <w:rPr>
                <w:rFonts w:ascii="Arial" w:hAnsi="Arial" w:cs="Arial"/>
                <w:i/>
                <w:sz w:val="16"/>
                <w:szCs w:val="20"/>
                <w:lang w:val="es-CR"/>
              </w:rPr>
            </w:pPr>
            <w:r w:rsidRPr="004F3848">
              <w:rPr>
                <w:rFonts w:ascii="Arial" w:hAnsi="Arial" w:cs="Arial"/>
                <w:i/>
                <w:sz w:val="16"/>
                <w:szCs w:val="20"/>
                <w:lang w:val="es-CR"/>
              </w:rPr>
              <w:t xml:space="preserve">4.222.500,65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4.222.500,65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7</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Ampliación de la Biblioteca</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3.950.325,83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362.500,00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4.312.825,83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r w:rsidR="004F3848" w:rsidRPr="004F3848" w:rsidTr="00CC32A8">
        <w:trPr>
          <w:trHeight w:val="6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8</w:t>
            </w:r>
          </w:p>
        </w:tc>
        <w:tc>
          <w:tcPr>
            <w:tcW w:w="1324"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 xml:space="preserve">Fortalecimiento de la Sede Regional San Carlos </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6.590.073,07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100.000,00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6.690.073,07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(1.199.399,37)</w:t>
            </w:r>
          </w:p>
        </w:tc>
      </w:tr>
      <w:tr w:rsidR="004F3848" w:rsidRPr="004F3848" w:rsidTr="00CC32A8">
        <w:trPr>
          <w:trHeight w:val="6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p>
        </w:tc>
        <w:tc>
          <w:tcPr>
            <w:tcW w:w="1324"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Fortalecimiento de la Sede Regional San Carlos (docencia)</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2.942.968,59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100.000,00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3.042.968,59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r w:rsidR="004F3848" w:rsidRPr="004F3848" w:rsidTr="00CC32A8">
        <w:trPr>
          <w:trHeight w:val="6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p>
        </w:tc>
        <w:tc>
          <w:tcPr>
            <w:tcW w:w="1324"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Fortalecimiento de la Sede Regional San Carlos (Investigación)</w:t>
            </w:r>
          </w:p>
        </w:tc>
        <w:tc>
          <w:tcPr>
            <w:tcW w:w="67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3.647.104,49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3.647.104,49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(1.199.399,37)</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9</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Núcleo Integrado Química- Ambiental</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8.448.040,16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8.448.040,16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500.000,00 </w:t>
            </w:r>
          </w:p>
        </w:tc>
      </w:tr>
      <w:tr w:rsidR="004F3848" w:rsidRPr="004F3848" w:rsidTr="00CC32A8">
        <w:trPr>
          <w:trHeight w:val="3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t>10</w:t>
            </w:r>
          </w:p>
        </w:tc>
        <w:tc>
          <w:tcPr>
            <w:tcW w:w="1324"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 xml:space="preserve">Núcleo Integrado de Diseño </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right"/>
              <w:rPr>
                <w:rFonts w:ascii="Arial" w:hAnsi="Arial" w:cs="Arial"/>
                <w:i/>
                <w:sz w:val="16"/>
                <w:szCs w:val="20"/>
                <w:lang w:val="es-CR"/>
              </w:rPr>
            </w:pPr>
            <w:r w:rsidRPr="004F3848">
              <w:rPr>
                <w:rFonts w:ascii="Arial" w:hAnsi="Arial" w:cs="Arial"/>
                <w:i/>
                <w:sz w:val="16"/>
                <w:szCs w:val="20"/>
                <w:lang w:val="es-CR"/>
              </w:rPr>
              <w:t xml:space="preserve">2.475.479,77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90.000,00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right"/>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2.565.479,77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60.000,00 </w:t>
            </w:r>
          </w:p>
        </w:tc>
      </w:tr>
      <w:tr w:rsidR="004F3848" w:rsidRPr="004F3848" w:rsidTr="00CC32A8">
        <w:trPr>
          <w:trHeight w:val="600"/>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center"/>
              <w:rPr>
                <w:rFonts w:ascii="Arial" w:hAnsi="Arial" w:cs="Arial"/>
                <w:i/>
                <w:sz w:val="16"/>
                <w:szCs w:val="20"/>
                <w:lang w:val="es-CR"/>
              </w:rPr>
            </w:pPr>
            <w:r w:rsidRPr="004F3848">
              <w:rPr>
                <w:rFonts w:ascii="Arial" w:hAnsi="Arial" w:cs="Arial"/>
                <w:i/>
                <w:sz w:val="16"/>
                <w:szCs w:val="20"/>
                <w:lang w:val="es-CR"/>
              </w:rPr>
              <w:lastRenderedPageBreak/>
              <w:t>11</w:t>
            </w:r>
          </w:p>
        </w:tc>
        <w:tc>
          <w:tcPr>
            <w:tcW w:w="1324"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ind w:left="34" w:right="446"/>
              <w:jc w:val="both"/>
              <w:rPr>
                <w:rFonts w:ascii="Arial" w:hAnsi="Arial" w:cs="Arial"/>
                <w:i/>
                <w:sz w:val="16"/>
                <w:szCs w:val="20"/>
                <w:lang w:val="es-CR"/>
              </w:rPr>
            </w:pPr>
            <w:r w:rsidRPr="004F3848">
              <w:rPr>
                <w:rFonts w:ascii="Arial" w:hAnsi="Arial" w:cs="Arial"/>
                <w:i/>
                <w:sz w:val="16"/>
                <w:szCs w:val="20"/>
                <w:lang w:val="es-CR"/>
              </w:rPr>
              <w:t>Fortalecimiento del Centro Académico de San José</w:t>
            </w:r>
          </w:p>
        </w:tc>
        <w:tc>
          <w:tcPr>
            <w:tcW w:w="67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ind w:left="58"/>
              <w:jc w:val="both"/>
              <w:rPr>
                <w:rFonts w:ascii="Arial" w:hAnsi="Arial" w:cs="Arial"/>
                <w:i/>
                <w:sz w:val="16"/>
                <w:szCs w:val="20"/>
                <w:lang w:val="es-CR"/>
              </w:rPr>
            </w:pPr>
            <w:r w:rsidRPr="004F3848">
              <w:rPr>
                <w:rFonts w:ascii="Arial" w:hAnsi="Arial" w:cs="Arial"/>
                <w:i/>
                <w:sz w:val="16"/>
                <w:szCs w:val="20"/>
                <w:lang w:val="es-CR"/>
              </w:rPr>
              <w:t xml:space="preserve">2.361.677,20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both"/>
              <w:rPr>
                <w:rFonts w:ascii="Arial" w:hAnsi="Arial" w:cs="Arial"/>
                <w:i/>
                <w:sz w:val="16"/>
                <w:szCs w:val="20"/>
                <w:lang w:val="es-CR"/>
              </w:rPr>
            </w:pPr>
            <w:r w:rsidRPr="004F3848">
              <w:rPr>
                <w:rFonts w:ascii="Arial" w:hAnsi="Arial" w:cs="Arial"/>
                <w:i/>
                <w:sz w:val="16"/>
                <w:szCs w:val="20"/>
                <w:lang w:val="es-CR"/>
              </w:rPr>
              <w:t xml:space="preserve">200.000,00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both"/>
              <w:rPr>
                <w:rFonts w:ascii="Arial" w:hAnsi="Arial" w:cs="Arial"/>
                <w:i/>
                <w:sz w:val="16"/>
                <w:szCs w:val="20"/>
                <w:lang w:val="es-CR"/>
              </w:rPr>
            </w:pPr>
            <w:r w:rsidRPr="004F3848">
              <w:rPr>
                <w:rFonts w:ascii="Arial" w:hAnsi="Arial" w:cs="Arial"/>
                <w:i/>
                <w:sz w:val="16"/>
                <w:szCs w:val="20"/>
                <w:lang w:val="es-CR"/>
              </w:rPr>
              <w:t>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both"/>
              <w:rPr>
                <w:rFonts w:ascii="Arial" w:hAnsi="Arial" w:cs="Arial"/>
                <w:i/>
                <w:sz w:val="16"/>
                <w:szCs w:val="20"/>
                <w:lang w:val="es-CR"/>
              </w:rPr>
            </w:pPr>
            <w:r w:rsidRPr="004F3848">
              <w:rPr>
                <w:rFonts w:ascii="Arial" w:hAnsi="Arial" w:cs="Arial"/>
                <w:i/>
                <w:sz w:val="16"/>
                <w:szCs w:val="20"/>
                <w:lang w:val="es-CR"/>
              </w:rPr>
              <w:t>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Arial" w:hAnsi="Arial" w:cs="Arial"/>
                <w:i/>
                <w:sz w:val="16"/>
                <w:szCs w:val="20"/>
                <w:lang w:val="es-CR"/>
              </w:rPr>
            </w:pPr>
            <w:r w:rsidRPr="004F3848">
              <w:rPr>
                <w:rFonts w:ascii="Arial" w:hAnsi="Arial" w:cs="Arial"/>
                <w:i/>
                <w:sz w:val="16"/>
                <w:szCs w:val="20"/>
                <w:lang w:val="es-CR"/>
              </w:rPr>
              <w:t xml:space="preserve">2.561.677,20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100"/>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r w:rsidR="004F3848" w:rsidRPr="004F3848" w:rsidTr="00CC32A8">
        <w:trPr>
          <w:trHeight w:val="300"/>
        </w:trPr>
        <w:tc>
          <w:tcPr>
            <w:tcW w:w="14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b/>
                <w:bCs/>
                <w:i/>
                <w:sz w:val="16"/>
                <w:szCs w:val="20"/>
                <w:lang w:val="es-CR"/>
              </w:rPr>
            </w:pPr>
            <w:r w:rsidRPr="004F3848">
              <w:rPr>
                <w:rFonts w:ascii="Arial" w:hAnsi="Arial" w:cs="Arial"/>
                <w:b/>
                <w:bCs/>
                <w:i/>
                <w:sz w:val="16"/>
                <w:szCs w:val="20"/>
                <w:lang w:val="es-CR"/>
              </w:rPr>
              <w:t>TOTALES</w:t>
            </w:r>
          </w:p>
        </w:tc>
        <w:tc>
          <w:tcPr>
            <w:tcW w:w="67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both"/>
              <w:rPr>
                <w:rFonts w:ascii="Arial" w:hAnsi="Arial" w:cs="Arial"/>
                <w:b/>
                <w:bCs/>
                <w:i/>
                <w:sz w:val="16"/>
                <w:szCs w:val="20"/>
                <w:lang w:val="es-CR"/>
              </w:rPr>
            </w:pPr>
            <w:r w:rsidRPr="004F3848">
              <w:rPr>
                <w:rFonts w:ascii="Arial" w:hAnsi="Arial" w:cs="Arial"/>
                <w:b/>
                <w:bCs/>
                <w:i/>
                <w:sz w:val="16"/>
                <w:szCs w:val="20"/>
                <w:lang w:val="es-CR"/>
              </w:rPr>
              <w:t xml:space="preserve">42.069.387,65 </w:t>
            </w:r>
          </w:p>
        </w:tc>
        <w:tc>
          <w:tcPr>
            <w:tcW w:w="49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both"/>
              <w:rPr>
                <w:rFonts w:ascii="Arial" w:hAnsi="Arial" w:cs="Arial"/>
                <w:b/>
                <w:bCs/>
                <w:i/>
                <w:sz w:val="16"/>
                <w:szCs w:val="20"/>
                <w:lang w:val="es-CR"/>
              </w:rPr>
            </w:pPr>
            <w:r w:rsidRPr="004F3848">
              <w:rPr>
                <w:rFonts w:ascii="Arial" w:hAnsi="Arial" w:cs="Arial"/>
                <w:b/>
                <w:bCs/>
                <w:i/>
                <w:sz w:val="16"/>
                <w:szCs w:val="20"/>
                <w:lang w:val="es-CR"/>
              </w:rPr>
              <w:t xml:space="preserve">3.680.500 </w:t>
            </w:r>
          </w:p>
        </w:tc>
        <w:tc>
          <w:tcPr>
            <w:tcW w:w="50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12"/>
              <w:jc w:val="both"/>
              <w:rPr>
                <w:rFonts w:ascii="Arial" w:hAnsi="Arial" w:cs="Arial"/>
                <w:b/>
                <w:bCs/>
                <w:i/>
                <w:sz w:val="16"/>
                <w:szCs w:val="20"/>
                <w:lang w:val="es-CR"/>
              </w:rPr>
            </w:pPr>
            <w:r w:rsidRPr="004F3848">
              <w:rPr>
                <w:rFonts w:ascii="Arial" w:hAnsi="Arial" w:cs="Arial"/>
                <w:b/>
                <w:bCs/>
                <w:i/>
                <w:sz w:val="16"/>
                <w:szCs w:val="20"/>
                <w:lang w:val="es-CR"/>
              </w:rPr>
              <w:t xml:space="preserve">927.611,70 </w:t>
            </w:r>
          </w:p>
        </w:tc>
        <w:tc>
          <w:tcPr>
            <w:tcW w:w="54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right="-176"/>
              <w:jc w:val="both"/>
              <w:rPr>
                <w:rFonts w:ascii="Arial" w:hAnsi="Arial" w:cs="Arial"/>
                <w:b/>
                <w:bCs/>
                <w:i/>
                <w:sz w:val="16"/>
                <w:szCs w:val="20"/>
                <w:lang w:val="es-CR"/>
              </w:rPr>
            </w:pPr>
            <w:r w:rsidRPr="004F3848">
              <w:rPr>
                <w:rFonts w:ascii="Arial" w:hAnsi="Arial" w:cs="Arial"/>
                <w:b/>
                <w:bCs/>
                <w:i/>
                <w:sz w:val="16"/>
                <w:szCs w:val="20"/>
                <w:lang w:val="es-CR"/>
              </w:rPr>
              <w:t xml:space="preserve">4.222.500,65 </w:t>
            </w:r>
          </w:p>
        </w:tc>
        <w:tc>
          <w:tcPr>
            <w:tcW w:w="588"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105"/>
              <w:jc w:val="both"/>
              <w:rPr>
                <w:rFonts w:ascii="Arial" w:hAnsi="Arial" w:cs="Arial"/>
                <w:b/>
                <w:bCs/>
                <w:i/>
                <w:sz w:val="16"/>
                <w:szCs w:val="20"/>
                <w:lang w:val="es-CR"/>
              </w:rPr>
            </w:pPr>
            <w:r w:rsidRPr="004F3848">
              <w:rPr>
                <w:rFonts w:ascii="Arial" w:hAnsi="Arial" w:cs="Arial"/>
                <w:b/>
                <w:bCs/>
                <w:i/>
                <w:sz w:val="16"/>
                <w:szCs w:val="20"/>
                <w:lang w:val="es-CR"/>
              </w:rPr>
              <w:t xml:space="preserve">50.000.000,00 </w:t>
            </w:r>
          </w:p>
        </w:tc>
        <w:tc>
          <w:tcPr>
            <w:tcW w:w="73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b/>
                <w:bCs/>
                <w:i/>
                <w:sz w:val="16"/>
                <w:szCs w:val="20"/>
                <w:lang w:val="es-CR"/>
              </w:rPr>
            </w:pPr>
            <w:r w:rsidRPr="004F3848">
              <w:rPr>
                <w:rFonts w:ascii="Arial" w:hAnsi="Arial" w:cs="Arial"/>
                <w:b/>
                <w:bCs/>
                <w:i/>
                <w:sz w:val="16"/>
                <w:szCs w:val="20"/>
                <w:lang w:val="es-CR"/>
              </w:rPr>
              <w:t xml:space="preserve">0,00 </w:t>
            </w:r>
          </w:p>
        </w:tc>
      </w:tr>
    </w:tbl>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Nota: Los datos mostrados en fondo verde es lo que se encuentra adjudicado</w:t>
      </w:r>
    </w:p>
    <w:p w:rsidR="004F3848" w:rsidRPr="004F3848" w:rsidRDefault="004F3848" w:rsidP="004F3848">
      <w:pPr>
        <w:ind w:left="284"/>
        <w:jc w:val="both"/>
        <w:rPr>
          <w:rFonts w:ascii="Arial" w:hAnsi="Arial" w:cs="Arial"/>
          <w:i/>
          <w:sz w:val="22"/>
          <w:szCs w:val="20"/>
          <w:lang w:val="es-CR"/>
        </w:rPr>
      </w:pPr>
    </w:p>
    <w:p w:rsidR="004F3848" w:rsidRPr="004F3848" w:rsidRDefault="004F3848" w:rsidP="004F3848">
      <w:pPr>
        <w:ind w:left="284"/>
        <w:jc w:val="both"/>
        <w:rPr>
          <w:rFonts w:ascii="Arial" w:hAnsi="Arial" w:cs="Arial"/>
          <w:i/>
          <w:sz w:val="20"/>
          <w:szCs w:val="20"/>
          <w:lang w:val="es-CR"/>
        </w:rPr>
      </w:pPr>
      <w:r w:rsidRPr="004F3848">
        <w:rPr>
          <w:rFonts w:ascii="Arial" w:hAnsi="Arial" w:cs="Arial"/>
          <w:i/>
          <w:sz w:val="20"/>
          <w:szCs w:val="20"/>
          <w:lang w:val="es-CR"/>
        </w:rPr>
        <w:t>Los fondos para cubrir el equipamiento del comedor estudiantil y el núcleo integrado de Química-Ambiental disminuidos en la tabla anterior, serán tomados en primera instancia de cualquier remanente generado dentro de los proyectos del Banco Mundial y en segunda instancia serán tomados de fondos de contrapartida institucionales, de acuerdo al detalle indicado en la siguiente tabla.</w:t>
      </w:r>
    </w:p>
    <w:p w:rsidR="004F3848" w:rsidRPr="004F3848" w:rsidRDefault="004F3848" w:rsidP="004F3848">
      <w:pPr>
        <w:jc w:val="both"/>
        <w:rPr>
          <w:rFonts w:ascii="Arial" w:hAnsi="Arial" w:cs="Arial"/>
          <w:i/>
          <w:sz w:val="22"/>
          <w:szCs w:val="20"/>
          <w:lang w:val="es-CR"/>
        </w:rPr>
      </w:pPr>
    </w:p>
    <w:tbl>
      <w:tblPr>
        <w:tblW w:w="7087" w:type="dxa"/>
        <w:jc w:val="center"/>
        <w:tblCellMar>
          <w:left w:w="70" w:type="dxa"/>
          <w:right w:w="70" w:type="dxa"/>
        </w:tblCellMar>
        <w:tblLook w:val="04A0" w:firstRow="1" w:lastRow="0" w:firstColumn="1" w:lastColumn="0" w:noHBand="0" w:noVBand="1"/>
      </w:tblPr>
      <w:tblGrid>
        <w:gridCol w:w="567"/>
        <w:gridCol w:w="4110"/>
        <w:gridCol w:w="2410"/>
      </w:tblGrid>
      <w:tr w:rsidR="004F3848" w:rsidRPr="004F3848" w:rsidTr="00CC32A8">
        <w:trPr>
          <w:trHeight w:val="30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r w:rsidRPr="004F3848">
              <w:rPr>
                <w:rFonts w:ascii="Arial" w:hAnsi="Arial" w:cs="Arial"/>
                <w:b/>
                <w:bCs/>
                <w:i/>
                <w:sz w:val="22"/>
                <w:szCs w:val="20"/>
                <w:lang w:val="es-CR"/>
              </w:rPr>
              <w:t>#</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r w:rsidRPr="004F3848">
              <w:rPr>
                <w:rFonts w:ascii="Arial" w:hAnsi="Arial" w:cs="Arial"/>
                <w:b/>
                <w:bCs/>
                <w:i/>
                <w:sz w:val="22"/>
                <w:szCs w:val="20"/>
                <w:lang w:val="es-CR"/>
              </w:rPr>
              <w:t>Nombre de la iniciativa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r w:rsidRPr="004F3848">
              <w:rPr>
                <w:rFonts w:ascii="Arial" w:hAnsi="Arial" w:cs="Arial"/>
                <w:b/>
                <w:bCs/>
                <w:i/>
                <w:sz w:val="22"/>
                <w:szCs w:val="20"/>
                <w:lang w:val="es-CR"/>
              </w:rPr>
              <w:t>Monto adicional de Equipamiento</w:t>
            </w:r>
          </w:p>
          <w:p w:rsidR="004F3848" w:rsidRPr="004F3848" w:rsidRDefault="004F3848" w:rsidP="004F3848">
            <w:pPr>
              <w:ind w:left="284"/>
              <w:jc w:val="both"/>
              <w:rPr>
                <w:rFonts w:ascii="Arial" w:hAnsi="Arial" w:cs="Arial"/>
                <w:b/>
                <w:bCs/>
                <w:i/>
                <w:sz w:val="22"/>
                <w:szCs w:val="20"/>
                <w:lang w:val="es-CR"/>
              </w:rPr>
            </w:pPr>
            <w:r w:rsidRPr="004F3848">
              <w:rPr>
                <w:rFonts w:ascii="Arial" w:hAnsi="Arial" w:cs="Arial"/>
                <w:b/>
                <w:bCs/>
                <w:i/>
                <w:sz w:val="22"/>
                <w:szCs w:val="20"/>
                <w:lang w:val="es-CR"/>
              </w:rPr>
              <w:t>US$</w:t>
            </w:r>
          </w:p>
        </w:tc>
      </w:tr>
      <w:tr w:rsidR="004F3848" w:rsidRPr="004F3848" w:rsidTr="00CC32A8">
        <w:trPr>
          <w:trHeight w:val="300"/>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c>
          <w:tcPr>
            <w:tcW w:w="4110"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c>
          <w:tcPr>
            <w:tcW w:w="2410"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r>
      <w:tr w:rsidR="004F3848" w:rsidRPr="004F3848" w:rsidTr="00CC32A8">
        <w:trPr>
          <w:trHeight w:val="281"/>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c>
          <w:tcPr>
            <w:tcW w:w="4110"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c>
          <w:tcPr>
            <w:tcW w:w="2410" w:type="dxa"/>
            <w:vMerge/>
            <w:tcBorders>
              <w:top w:val="single" w:sz="4" w:space="0" w:color="auto"/>
              <w:left w:val="single" w:sz="4" w:space="0" w:color="auto"/>
              <w:bottom w:val="single" w:sz="4" w:space="0" w:color="000000"/>
              <w:right w:val="single" w:sz="4" w:space="0" w:color="auto"/>
            </w:tcBorders>
            <w:shd w:val="clear" w:color="auto" w:fill="323E4F"/>
            <w:vAlign w:val="center"/>
            <w:hideMark/>
          </w:tcPr>
          <w:p w:rsidR="004F3848" w:rsidRPr="004F3848" w:rsidRDefault="004F3848" w:rsidP="004F3848">
            <w:pPr>
              <w:ind w:left="284"/>
              <w:jc w:val="both"/>
              <w:rPr>
                <w:rFonts w:ascii="Arial" w:hAnsi="Arial" w:cs="Arial"/>
                <w:b/>
                <w:bCs/>
                <w:i/>
                <w:sz w:val="22"/>
                <w:szCs w:val="20"/>
                <w:lang w:val="es-CR"/>
              </w:rPr>
            </w:pPr>
          </w:p>
        </w:tc>
      </w:tr>
      <w:tr w:rsidR="004F3848" w:rsidRPr="004F3848" w:rsidTr="00CC32A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2</w:t>
            </w:r>
          </w:p>
        </w:tc>
        <w:tc>
          <w:tcPr>
            <w:tcW w:w="411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Comedor estudiantil</w:t>
            </w:r>
          </w:p>
        </w:tc>
        <w:tc>
          <w:tcPr>
            <w:tcW w:w="2410" w:type="dxa"/>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497.686,00</w:t>
            </w:r>
          </w:p>
        </w:tc>
      </w:tr>
      <w:tr w:rsidR="004F3848" w:rsidRPr="004F3848" w:rsidTr="00CC32A8">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9</w:t>
            </w:r>
          </w:p>
        </w:tc>
        <w:tc>
          <w:tcPr>
            <w:tcW w:w="411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Núcleo Integrado Química- Ambiental</w:t>
            </w:r>
          </w:p>
        </w:tc>
        <w:tc>
          <w:tcPr>
            <w:tcW w:w="2410" w:type="dxa"/>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ind w:left="284"/>
              <w:jc w:val="both"/>
              <w:rPr>
                <w:rFonts w:ascii="Arial" w:hAnsi="Arial" w:cs="Arial"/>
                <w:i/>
                <w:sz w:val="22"/>
                <w:szCs w:val="20"/>
                <w:lang w:val="es-CR"/>
              </w:rPr>
            </w:pPr>
            <w:r w:rsidRPr="004F3848">
              <w:rPr>
                <w:rFonts w:ascii="Arial" w:hAnsi="Arial" w:cs="Arial"/>
                <w:i/>
                <w:sz w:val="22"/>
                <w:szCs w:val="20"/>
                <w:lang w:val="es-CR"/>
              </w:rPr>
              <w:t>500.000,00</w:t>
            </w:r>
          </w:p>
        </w:tc>
      </w:tr>
      <w:tr w:rsidR="004F3848" w:rsidRPr="004F3848" w:rsidTr="00CC32A8">
        <w:trPr>
          <w:trHeight w:val="300"/>
          <w:jc w:val="center"/>
        </w:trPr>
        <w:tc>
          <w:tcPr>
            <w:tcW w:w="567" w:type="dxa"/>
            <w:tcBorders>
              <w:top w:val="nil"/>
              <w:left w:val="single" w:sz="4" w:space="0" w:color="auto"/>
              <w:bottom w:val="single" w:sz="4" w:space="0" w:color="auto"/>
              <w:right w:val="single" w:sz="4" w:space="0" w:color="auto"/>
            </w:tcBorders>
            <w:shd w:val="clear" w:color="auto" w:fill="323E4F"/>
            <w:noWrap/>
            <w:vAlign w:val="bottom"/>
            <w:hideMark/>
          </w:tcPr>
          <w:p w:rsidR="004F3848" w:rsidRPr="004F3848" w:rsidRDefault="004F3848" w:rsidP="004F3848">
            <w:pPr>
              <w:ind w:left="284"/>
              <w:jc w:val="both"/>
              <w:rPr>
                <w:rFonts w:ascii="Arial" w:hAnsi="Arial" w:cs="Arial"/>
                <w:b/>
                <w:i/>
                <w:sz w:val="22"/>
                <w:szCs w:val="20"/>
                <w:lang w:val="es-CR"/>
              </w:rPr>
            </w:pPr>
            <w:r w:rsidRPr="004F3848">
              <w:rPr>
                <w:rFonts w:ascii="Arial" w:hAnsi="Arial" w:cs="Arial"/>
                <w:b/>
                <w:i/>
                <w:sz w:val="22"/>
                <w:szCs w:val="20"/>
                <w:lang w:val="es-CR"/>
              </w:rPr>
              <w:t xml:space="preserve"> </w:t>
            </w:r>
          </w:p>
        </w:tc>
        <w:tc>
          <w:tcPr>
            <w:tcW w:w="4110" w:type="dxa"/>
            <w:tcBorders>
              <w:top w:val="nil"/>
              <w:left w:val="nil"/>
              <w:bottom w:val="single" w:sz="4" w:space="0" w:color="auto"/>
              <w:right w:val="single" w:sz="4" w:space="0" w:color="auto"/>
            </w:tcBorders>
            <w:shd w:val="clear" w:color="auto" w:fill="323E4F"/>
            <w:noWrap/>
            <w:vAlign w:val="bottom"/>
            <w:hideMark/>
          </w:tcPr>
          <w:p w:rsidR="004F3848" w:rsidRPr="004F3848" w:rsidRDefault="004F3848" w:rsidP="004F3848">
            <w:pPr>
              <w:ind w:left="284"/>
              <w:jc w:val="both"/>
              <w:rPr>
                <w:rFonts w:ascii="Arial" w:hAnsi="Arial" w:cs="Arial"/>
                <w:b/>
                <w:i/>
                <w:sz w:val="22"/>
                <w:szCs w:val="20"/>
                <w:lang w:val="es-CR"/>
              </w:rPr>
            </w:pPr>
            <w:r w:rsidRPr="004F3848">
              <w:rPr>
                <w:rFonts w:ascii="Arial" w:hAnsi="Arial" w:cs="Arial"/>
                <w:b/>
                <w:i/>
                <w:sz w:val="22"/>
                <w:szCs w:val="20"/>
                <w:lang w:val="es-CR"/>
              </w:rPr>
              <w:t>TOTAL</w:t>
            </w:r>
          </w:p>
        </w:tc>
        <w:tc>
          <w:tcPr>
            <w:tcW w:w="2410" w:type="dxa"/>
            <w:tcBorders>
              <w:top w:val="nil"/>
              <w:left w:val="nil"/>
              <w:bottom w:val="single" w:sz="4" w:space="0" w:color="auto"/>
              <w:right w:val="single" w:sz="4" w:space="0" w:color="auto"/>
            </w:tcBorders>
            <w:shd w:val="clear" w:color="auto" w:fill="323E4F"/>
            <w:noWrap/>
            <w:vAlign w:val="bottom"/>
            <w:hideMark/>
          </w:tcPr>
          <w:p w:rsidR="004F3848" w:rsidRPr="004F3848" w:rsidRDefault="004F3848" w:rsidP="004F3848">
            <w:pPr>
              <w:ind w:left="284"/>
              <w:jc w:val="both"/>
              <w:rPr>
                <w:rFonts w:ascii="Arial" w:hAnsi="Arial" w:cs="Arial"/>
                <w:b/>
                <w:i/>
                <w:sz w:val="22"/>
                <w:szCs w:val="20"/>
                <w:lang w:val="es-CR"/>
              </w:rPr>
            </w:pPr>
            <w:r w:rsidRPr="004F3848">
              <w:rPr>
                <w:rFonts w:ascii="Arial" w:hAnsi="Arial" w:cs="Arial"/>
                <w:b/>
                <w:i/>
                <w:sz w:val="22"/>
                <w:szCs w:val="20"/>
                <w:lang w:val="es-CR"/>
              </w:rPr>
              <w:t>997.686,00</w:t>
            </w:r>
          </w:p>
        </w:tc>
      </w:tr>
    </w:tbl>
    <w:p w:rsidR="004F3848" w:rsidRPr="004F3848" w:rsidRDefault="004F3848" w:rsidP="004F3848">
      <w:pPr>
        <w:ind w:left="284"/>
        <w:jc w:val="both"/>
        <w:rPr>
          <w:rFonts w:ascii="Arial" w:hAnsi="Arial" w:cs="Arial"/>
          <w:i/>
          <w:sz w:val="20"/>
          <w:szCs w:val="20"/>
          <w:lang w:val="es-CR"/>
        </w:rPr>
      </w:pPr>
    </w:p>
    <w:p w:rsidR="004F3848" w:rsidRPr="004F3848" w:rsidRDefault="004F3848" w:rsidP="004F3848">
      <w:pPr>
        <w:ind w:left="284"/>
        <w:jc w:val="both"/>
        <w:rPr>
          <w:rFonts w:ascii="Arial" w:hAnsi="Arial" w:cs="Arial"/>
          <w:i/>
          <w:sz w:val="20"/>
          <w:szCs w:val="20"/>
          <w:lang w:val="es-CR"/>
        </w:rPr>
      </w:pPr>
      <w:r w:rsidRPr="004F3848">
        <w:rPr>
          <w:rFonts w:ascii="Arial" w:hAnsi="Arial" w:cs="Arial"/>
          <w:b/>
          <w:i/>
          <w:sz w:val="20"/>
          <w:szCs w:val="20"/>
          <w:lang w:val="es-CR"/>
        </w:rPr>
        <w:t>NOTA</w:t>
      </w:r>
      <w:proofErr w:type="gramStart"/>
      <w:r w:rsidRPr="004F3848">
        <w:rPr>
          <w:rFonts w:ascii="Arial" w:hAnsi="Arial" w:cs="Arial"/>
          <w:b/>
          <w:i/>
          <w:sz w:val="20"/>
          <w:szCs w:val="20"/>
          <w:lang w:val="es-CR"/>
        </w:rPr>
        <w:t>:</w:t>
      </w:r>
      <w:r w:rsidRPr="004F3848">
        <w:rPr>
          <w:rFonts w:ascii="Arial" w:hAnsi="Arial" w:cs="Arial"/>
          <w:i/>
          <w:sz w:val="20"/>
          <w:szCs w:val="20"/>
          <w:lang w:val="es-CR"/>
        </w:rPr>
        <w:t xml:space="preserve">  El</w:t>
      </w:r>
      <w:proofErr w:type="gramEnd"/>
      <w:r w:rsidRPr="004F3848">
        <w:rPr>
          <w:rFonts w:ascii="Arial" w:hAnsi="Arial" w:cs="Arial"/>
          <w:i/>
          <w:sz w:val="20"/>
          <w:szCs w:val="20"/>
          <w:lang w:val="es-CR"/>
        </w:rPr>
        <w:t xml:space="preserve"> monto indicado para comedor estudiantil incluye equipo y mobiliario y no es idéntico al mostrado en la columna de “Remanente/Faltante” del cuadro del inciso anterior, pues esta diferencia incluye la previsión que se había hecho para escalamiento en esta iniciativa.</w:t>
      </w:r>
    </w:p>
    <w:p w:rsidR="004F3848" w:rsidRPr="004F3848" w:rsidRDefault="004F3848" w:rsidP="004F3848">
      <w:pPr>
        <w:ind w:left="284"/>
        <w:jc w:val="both"/>
        <w:rPr>
          <w:rFonts w:ascii="Arial" w:hAnsi="Arial" w:cs="Arial"/>
          <w:i/>
          <w:sz w:val="22"/>
          <w:szCs w:val="20"/>
        </w:rPr>
      </w:pPr>
    </w:p>
    <w:p w:rsidR="004F3848" w:rsidRPr="004F3848" w:rsidRDefault="004F3848" w:rsidP="004F3848">
      <w:pPr>
        <w:numPr>
          <w:ilvl w:val="4"/>
          <w:numId w:val="23"/>
        </w:numPr>
        <w:ind w:left="1134" w:right="708"/>
        <w:jc w:val="both"/>
        <w:rPr>
          <w:rFonts w:ascii="Arial" w:hAnsi="Arial" w:cs="Arial"/>
          <w:b/>
          <w:i/>
          <w:sz w:val="22"/>
          <w:szCs w:val="20"/>
        </w:rPr>
      </w:pPr>
      <w:r w:rsidRPr="004F3848">
        <w:rPr>
          <w:rFonts w:ascii="Arial" w:hAnsi="Arial" w:cs="Arial"/>
          <w:i/>
          <w:sz w:val="20"/>
          <w:szCs w:val="20"/>
          <w:lang w:val="es-CR"/>
        </w:rPr>
        <w:t>Comunicar</w:t>
      </w:r>
      <w:r w:rsidRPr="004F3848">
        <w:rPr>
          <w:rFonts w:ascii="Arial" w:hAnsi="Arial" w:cs="Arial"/>
          <w:i/>
          <w:sz w:val="22"/>
          <w:szCs w:val="20"/>
        </w:rPr>
        <w:t xml:space="preserve">.  </w:t>
      </w:r>
      <w:r w:rsidRPr="004F3848">
        <w:rPr>
          <w:rFonts w:ascii="Arial" w:hAnsi="Arial" w:cs="Arial"/>
          <w:b/>
          <w:i/>
          <w:sz w:val="22"/>
          <w:szCs w:val="20"/>
        </w:rPr>
        <w:t>ACUERDO FIRME.”</w:t>
      </w:r>
    </w:p>
    <w:p w:rsidR="004F3848" w:rsidRPr="004F3848" w:rsidRDefault="004F3848" w:rsidP="004F3848">
      <w:pPr>
        <w:jc w:val="both"/>
        <w:outlineLvl w:val="0"/>
        <w:rPr>
          <w:rFonts w:ascii="Arial" w:hAnsi="Arial" w:cs="Arial"/>
          <w:b/>
          <w:lang w:val="es-CR"/>
        </w:rPr>
      </w:pPr>
    </w:p>
    <w:p w:rsidR="004F3848" w:rsidRPr="004F3848" w:rsidRDefault="004F3848" w:rsidP="004F3848">
      <w:pPr>
        <w:jc w:val="both"/>
        <w:outlineLvl w:val="0"/>
        <w:rPr>
          <w:rFonts w:ascii="Arial" w:hAnsi="Arial" w:cs="Arial"/>
          <w:b/>
          <w:lang w:val="es-CR"/>
        </w:rPr>
      </w:pPr>
      <w:r w:rsidRPr="004F3848">
        <w:rPr>
          <w:rFonts w:ascii="Arial" w:hAnsi="Arial" w:cs="Arial"/>
          <w:b/>
          <w:lang w:val="es-CR"/>
        </w:rPr>
        <w:t>CONSIDERANDO QUE:</w:t>
      </w:r>
    </w:p>
    <w:p w:rsidR="004F3848" w:rsidRPr="004F3848" w:rsidRDefault="004F3848" w:rsidP="004F3848">
      <w:pPr>
        <w:jc w:val="both"/>
        <w:outlineLvl w:val="0"/>
        <w:rPr>
          <w:rFonts w:ascii="Arial" w:hAnsi="Arial" w:cs="Arial"/>
          <w:b/>
          <w:sz w:val="16"/>
          <w:szCs w:val="16"/>
          <w:lang w:val="es-CR"/>
        </w:rPr>
      </w:pPr>
    </w:p>
    <w:p w:rsidR="004F3848" w:rsidRPr="004F3848" w:rsidRDefault="004F3848" w:rsidP="004F3848">
      <w:pPr>
        <w:numPr>
          <w:ilvl w:val="0"/>
          <w:numId w:val="25"/>
        </w:numPr>
        <w:jc w:val="both"/>
        <w:rPr>
          <w:rFonts w:ascii="Arial" w:hAnsi="Arial" w:cs="Arial"/>
          <w:b/>
          <w:lang w:val="es-CR"/>
        </w:rPr>
      </w:pPr>
      <w:r w:rsidRPr="004F3848">
        <w:rPr>
          <w:rFonts w:ascii="Arial" w:hAnsi="Arial" w:cs="Arial"/>
          <w:lang w:val="es-CR"/>
        </w:rPr>
        <w:t>La Secretaría del Consejo Institucional recibió oficio ViDa-UCPI-200-2016, con fecha de recibido 06 de diciembre de 2016, suscrito por el Ing. Luis Paulino Méndez, Coordinador Proyecto de Mejoramiento Institucional, dirigido al Dr. Bernal Martínez,  Coordinador de la Comisión de Planificación y Administración,  en el cual  se presenta una propuesta de  modificación del inciso a) del acuerdo de la  Sesión No. 2993, Artículo 9 del 12 de octubre de 2016, “Redistribución de los fondos Proyecto de Mejoramiento Institucional”, resaltando lo siguiente:</w:t>
      </w:r>
    </w:p>
    <w:p w:rsidR="004F3848" w:rsidRPr="004F3848" w:rsidRDefault="004F3848" w:rsidP="004F3848">
      <w:pPr>
        <w:ind w:left="284"/>
        <w:jc w:val="both"/>
        <w:rPr>
          <w:rFonts w:ascii="Arial" w:eastAsia="Cambria" w:hAnsi="Arial" w:cs="Arial"/>
          <w:sz w:val="16"/>
          <w:szCs w:val="16"/>
          <w:lang w:val="es-ES_tradnl" w:eastAsia="en-US"/>
        </w:rPr>
      </w:pPr>
    </w:p>
    <w:p w:rsidR="004F3848" w:rsidRPr="004F3848" w:rsidRDefault="004F3848" w:rsidP="004F3848">
      <w:pPr>
        <w:numPr>
          <w:ilvl w:val="1"/>
          <w:numId w:val="26"/>
        </w:numPr>
        <w:ind w:left="993" w:hanging="709"/>
        <w:jc w:val="both"/>
        <w:rPr>
          <w:rFonts w:ascii="Arial" w:hAnsi="Arial" w:cs="Arial"/>
          <w:lang w:val="es-CR"/>
        </w:rPr>
      </w:pPr>
      <w:r w:rsidRPr="004F3848">
        <w:rPr>
          <w:rFonts w:ascii="Arial" w:hAnsi="Arial" w:cs="Arial"/>
          <w:lang w:val="es-CR"/>
        </w:rPr>
        <w:t>A la fecha se han adjudicado los contratos para la construcción de todos los edificios de las iniciativas del PMI.</w:t>
      </w:r>
    </w:p>
    <w:p w:rsidR="004F3848" w:rsidRPr="004F3848" w:rsidRDefault="004F3848" w:rsidP="004F3848">
      <w:pPr>
        <w:numPr>
          <w:ilvl w:val="1"/>
          <w:numId w:val="26"/>
        </w:numPr>
        <w:ind w:left="993" w:hanging="709"/>
        <w:jc w:val="both"/>
        <w:rPr>
          <w:rFonts w:ascii="Arial" w:hAnsi="Arial" w:cs="Arial"/>
          <w:lang w:val="es-CR"/>
        </w:rPr>
      </w:pPr>
      <w:r w:rsidRPr="004F3848">
        <w:rPr>
          <w:rFonts w:ascii="Arial" w:hAnsi="Arial" w:cs="Arial"/>
          <w:lang w:val="es-CR"/>
        </w:rPr>
        <w:t>El último contrato de construcción adjudicado fue el de la iniciativa “Comedor Estudiantil”, considerando el monto de esta adjudicación y los eventos compensables correspondientes se genera un remanente de US$ 859.686,00.</w:t>
      </w:r>
    </w:p>
    <w:p w:rsidR="004F3848" w:rsidRPr="004F3848" w:rsidRDefault="004F3848" w:rsidP="004F3848">
      <w:pPr>
        <w:numPr>
          <w:ilvl w:val="1"/>
          <w:numId w:val="26"/>
        </w:numPr>
        <w:ind w:left="993" w:hanging="709"/>
        <w:jc w:val="both"/>
        <w:rPr>
          <w:rFonts w:ascii="Arial" w:hAnsi="Arial" w:cs="Arial"/>
          <w:lang w:val="es-CR"/>
        </w:rPr>
      </w:pPr>
      <w:r w:rsidRPr="004F3848">
        <w:rPr>
          <w:rFonts w:ascii="Arial" w:hAnsi="Arial" w:cs="Arial"/>
          <w:lang w:val="es-CR"/>
        </w:rPr>
        <w:t xml:space="preserve">De los remanentes de otras iniciativas se cuenta con $135.000 para redistribuir. </w:t>
      </w:r>
    </w:p>
    <w:p w:rsidR="004F3848" w:rsidRPr="004F3848" w:rsidRDefault="004F3848" w:rsidP="004F3848">
      <w:pPr>
        <w:numPr>
          <w:ilvl w:val="1"/>
          <w:numId w:val="26"/>
        </w:numPr>
        <w:ind w:left="993" w:hanging="709"/>
        <w:jc w:val="both"/>
        <w:rPr>
          <w:rFonts w:ascii="Arial" w:hAnsi="Arial" w:cs="Arial"/>
          <w:lang w:val="es-CR"/>
        </w:rPr>
      </w:pPr>
      <w:r w:rsidRPr="004F3848">
        <w:rPr>
          <w:rFonts w:ascii="Arial" w:hAnsi="Arial" w:cs="Arial"/>
          <w:lang w:val="es-CR"/>
        </w:rPr>
        <w:t>Se debe hacer frente algunos imprevistos que no estaban considerados en la previsión de los eventos compensables en la construcción de algunas iniciativas por un monto de US$ 350.000,00, lo que deja disponible un monto US$ 644.686,00, del financiamiento externo.</w:t>
      </w:r>
    </w:p>
    <w:p w:rsidR="004F3848" w:rsidRPr="004F3848" w:rsidRDefault="004F3848" w:rsidP="004F3848">
      <w:pPr>
        <w:numPr>
          <w:ilvl w:val="1"/>
          <w:numId w:val="26"/>
        </w:numPr>
        <w:ind w:left="993" w:hanging="709"/>
        <w:jc w:val="both"/>
        <w:rPr>
          <w:rFonts w:ascii="Arial" w:hAnsi="Arial" w:cs="Arial"/>
          <w:lang w:val="es-CR"/>
        </w:rPr>
      </w:pPr>
      <w:r w:rsidRPr="004F3848">
        <w:rPr>
          <w:rFonts w:ascii="Arial" w:hAnsi="Arial" w:cs="Arial"/>
          <w:lang w:val="es-CR"/>
        </w:rPr>
        <w:t>Se debe financiar el mobiliario y equipo de la iniciativa de Comedor Estudiantil y el equipo de la iniciativa del Núcleo Integrado de Química Ambiental por un monto de US$ 997.686,00.</w:t>
      </w:r>
    </w:p>
    <w:p w:rsidR="004F3848" w:rsidRPr="004F3848" w:rsidRDefault="004F3848" w:rsidP="004F3848">
      <w:pPr>
        <w:numPr>
          <w:ilvl w:val="1"/>
          <w:numId w:val="26"/>
        </w:numPr>
        <w:ind w:left="993" w:hanging="709"/>
        <w:jc w:val="both"/>
        <w:rPr>
          <w:rFonts w:ascii="Arial" w:hAnsi="Arial" w:cs="Arial"/>
          <w:lang w:val="es-CR"/>
        </w:rPr>
      </w:pPr>
      <w:bookmarkStart w:id="0" w:name="_Ref469321072"/>
      <w:r w:rsidRPr="004F3848">
        <w:rPr>
          <w:rFonts w:ascii="Arial" w:hAnsi="Arial" w:cs="Arial"/>
          <w:lang w:val="es-CR"/>
        </w:rPr>
        <w:lastRenderedPageBreak/>
        <w:t>Por el tipo de equipo que debe adquirirse, y considerando las normas de contratación del Banco Mundial y las del país es más conveniente para la Institución adquirir el equipo de Comedor con fondos de contrapartida, que el equipo de la iniciativa de Química-Ambiental. La mejor distribución del remanente de Comedor es la que se propone en el cuadro 1.</w:t>
      </w:r>
      <w:bookmarkEnd w:id="0"/>
    </w:p>
    <w:p w:rsidR="004F3848" w:rsidRPr="004F3848" w:rsidRDefault="004F3848" w:rsidP="004F3848">
      <w:pPr>
        <w:ind w:left="708"/>
        <w:rPr>
          <w:rFonts w:ascii="Arial" w:hAnsi="Arial" w:cs="Arial"/>
          <w:sz w:val="16"/>
          <w:szCs w:val="16"/>
          <w:lang w:val="es-CR"/>
        </w:rPr>
      </w:pPr>
    </w:p>
    <w:p w:rsidR="004F3848" w:rsidRPr="004F3848" w:rsidRDefault="004F3848" w:rsidP="004F3848">
      <w:pPr>
        <w:ind w:left="709"/>
        <w:rPr>
          <w:rFonts w:ascii="Arial" w:hAnsi="Arial" w:cs="Arial"/>
          <w:sz w:val="22"/>
          <w:szCs w:val="22"/>
          <w:lang w:val="es-CR"/>
        </w:rPr>
      </w:pPr>
      <w:r w:rsidRPr="004F3848">
        <w:rPr>
          <w:rFonts w:ascii="Arial" w:hAnsi="Arial" w:cs="Arial"/>
          <w:sz w:val="22"/>
          <w:szCs w:val="22"/>
          <w:lang w:val="es-CR"/>
        </w:rPr>
        <w:t>Cuadro 1. Propuesta de redistribución del remanente de infraestructura de Comedor.</w:t>
      </w:r>
    </w:p>
    <w:p w:rsidR="004F3848" w:rsidRPr="004F3848" w:rsidRDefault="004F3848" w:rsidP="004F3848">
      <w:pPr>
        <w:ind w:left="708"/>
        <w:rPr>
          <w:rFonts w:ascii="Arial" w:hAnsi="Arial" w:cs="Arial"/>
          <w:sz w:val="16"/>
          <w:szCs w:val="16"/>
          <w:lang w:val="es-CR"/>
        </w:rPr>
      </w:pPr>
    </w:p>
    <w:tbl>
      <w:tblPr>
        <w:tblW w:w="8789" w:type="dxa"/>
        <w:tblInd w:w="704" w:type="dxa"/>
        <w:tblCellMar>
          <w:left w:w="70" w:type="dxa"/>
          <w:right w:w="70" w:type="dxa"/>
        </w:tblCellMar>
        <w:tblLook w:val="04A0" w:firstRow="1" w:lastRow="0" w:firstColumn="1" w:lastColumn="0" w:noHBand="0" w:noVBand="1"/>
      </w:tblPr>
      <w:tblGrid>
        <w:gridCol w:w="4111"/>
        <w:gridCol w:w="3260"/>
        <w:gridCol w:w="1418"/>
      </w:tblGrid>
      <w:tr w:rsidR="004F3848" w:rsidRPr="004F3848" w:rsidTr="004F3848">
        <w:trPr>
          <w:trHeight w:val="315"/>
        </w:trPr>
        <w:tc>
          <w:tcPr>
            <w:tcW w:w="4111" w:type="dxa"/>
            <w:tcBorders>
              <w:top w:val="single" w:sz="4" w:space="0" w:color="auto"/>
              <w:left w:val="single" w:sz="4" w:space="0" w:color="auto"/>
              <w:bottom w:val="double" w:sz="6" w:space="0" w:color="auto"/>
              <w:right w:val="single" w:sz="4" w:space="0" w:color="auto"/>
            </w:tcBorders>
            <w:shd w:val="clear" w:color="auto" w:fill="0F243E"/>
            <w:noWrap/>
            <w:vAlign w:val="bottom"/>
            <w:hideMark/>
          </w:tcPr>
          <w:p w:rsidR="004F3848" w:rsidRPr="004F3848" w:rsidRDefault="004F3848" w:rsidP="004F3848">
            <w:pPr>
              <w:rPr>
                <w:rFonts w:ascii="Calibri" w:hAnsi="Calibri"/>
                <w:b/>
                <w:bCs/>
                <w:color w:val="FFFFFF"/>
                <w:sz w:val="22"/>
                <w:szCs w:val="22"/>
                <w:lang w:val="es-CR" w:eastAsia="es-CR"/>
              </w:rPr>
            </w:pPr>
            <w:r w:rsidRPr="004F3848">
              <w:rPr>
                <w:rFonts w:ascii="Calibri" w:hAnsi="Calibri"/>
                <w:b/>
                <w:bCs/>
                <w:color w:val="FFFFFF"/>
                <w:sz w:val="22"/>
                <w:szCs w:val="22"/>
                <w:lang w:val="es-CR" w:eastAsia="es-CR"/>
              </w:rPr>
              <w:t>INICIATIVA A LA QUE SE CARGA</w:t>
            </w:r>
          </w:p>
        </w:tc>
        <w:tc>
          <w:tcPr>
            <w:tcW w:w="3260" w:type="dxa"/>
            <w:tcBorders>
              <w:top w:val="single" w:sz="4" w:space="0" w:color="auto"/>
              <w:left w:val="nil"/>
              <w:bottom w:val="double" w:sz="6" w:space="0" w:color="auto"/>
              <w:right w:val="single" w:sz="4" w:space="0" w:color="auto"/>
            </w:tcBorders>
            <w:shd w:val="clear" w:color="auto" w:fill="0F243E"/>
            <w:noWrap/>
            <w:vAlign w:val="bottom"/>
            <w:hideMark/>
          </w:tcPr>
          <w:p w:rsidR="004F3848" w:rsidRPr="004F3848" w:rsidRDefault="004F3848" w:rsidP="004F3848">
            <w:pPr>
              <w:jc w:val="center"/>
              <w:rPr>
                <w:rFonts w:ascii="Calibri" w:hAnsi="Calibri"/>
                <w:b/>
                <w:bCs/>
                <w:color w:val="FFFFFF"/>
                <w:sz w:val="22"/>
                <w:szCs w:val="22"/>
                <w:lang w:val="es-CR" w:eastAsia="es-CR"/>
              </w:rPr>
            </w:pPr>
            <w:r w:rsidRPr="004F3848">
              <w:rPr>
                <w:rFonts w:ascii="Calibri" w:hAnsi="Calibri"/>
                <w:b/>
                <w:bCs/>
                <w:color w:val="FFFFFF"/>
                <w:sz w:val="22"/>
                <w:szCs w:val="22"/>
                <w:lang w:val="es-CR" w:eastAsia="es-CR"/>
              </w:rPr>
              <w:t>ACTIVIDAD</w:t>
            </w:r>
          </w:p>
        </w:tc>
        <w:tc>
          <w:tcPr>
            <w:tcW w:w="1418" w:type="dxa"/>
            <w:tcBorders>
              <w:top w:val="single" w:sz="4" w:space="0" w:color="auto"/>
              <w:left w:val="nil"/>
              <w:bottom w:val="double" w:sz="6" w:space="0" w:color="auto"/>
              <w:right w:val="single" w:sz="4" w:space="0" w:color="auto"/>
            </w:tcBorders>
            <w:shd w:val="clear" w:color="auto" w:fill="0F243E"/>
            <w:noWrap/>
            <w:vAlign w:val="bottom"/>
            <w:hideMark/>
          </w:tcPr>
          <w:p w:rsidR="004F3848" w:rsidRPr="004F3848" w:rsidRDefault="004F3848" w:rsidP="004F3848">
            <w:pPr>
              <w:jc w:val="center"/>
              <w:rPr>
                <w:rFonts w:ascii="Calibri" w:hAnsi="Calibri"/>
                <w:b/>
                <w:bCs/>
                <w:color w:val="FFFFFF"/>
                <w:sz w:val="22"/>
                <w:szCs w:val="22"/>
                <w:lang w:val="es-CR" w:eastAsia="es-CR"/>
              </w:rPr>
            </w:pPr>
            <w:r w:rsidRPr="004F3848">
              <w:rPr>
                <w:rFonts w:ascii="Calibri" w:hAnsi="Calibri"/>
                <w:b/>
                <w:bCs/>
                <w:color w:val="FFFFFF"/>
                <w:sz w:val="22"/>
                <w:szCs w:val="22"/>
                <w:lang w:val="es-CR" w:eastAsia="es-CR"/>
              </w:rPr>
              <w:t>MONTO US$</w:t>
            </w:r>
          </w:p>
        </w:tc>
      </w:tr>
      <w:tr w:rsidR="004F3848" w:rsidRPr="004F3848" w:rsidTr="00CC32A8">
        <w:trPr>
          <w:trHeight w:val="315"/>
        </w:trPr>
        <w:tc>
          <w:tcPr>
            <w:tcW w:w="41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Comedor Estudiantil</w:t>
            </w:r>
          </w:p>
        </w:tc>
        <w:tc>
          <w:tcPr>
            <w:tcW w:w="3260" w:type="dxa"/>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Reubicación bodega del CIVCO *</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150.000,00</w:t>
            </w:r>
          </w:p>
        </w:tc>
      </w:tr>
      <w:tr w:rsidR="004F3848" w:rsidRPr="004F3848" w:rsidTr="00CC32A8">
        <w:trPr>
          <w:trHeight w:val="300"/>
        </w:trPr>
        <w:tc>
          <w:tcPr>
            <w:tcW w:w="4111" w:type="dxa"/>
            <w:vMerge/>
            <w:tcBorders>
              <w:top w:val="nil"/>
              <w:left w:val="single" w:sz="4" w:space="0" w:color="auto"/>
              <w:bottom w:val="single" w:sz="4" w:space="0" w:color="auto"/>
              <w:right w:val="single" w:sz="4" w:space="0" w:color="auto"/>
            </w:tcBorders>
            <w:vAlign w:val="center"/>
            <w:hideMark/>
          </w:tcPr>
          <w:p w:rsidR="004F3848" w:rsidRPr="004F3848" w:rsidRDefault="004F3848" w:rsidP="004F3848">
            <w:pPr>
              <w:rPr>
                <w:rFonts w:ascii="Calibri" w:hAnsi="Calibri"/>
                <w:color w:val="000000"/>
                <w:sz w:val="22"/>
                <w:szCs w:val="22"/>
                <w:lang w:val="es-CR" w:eastAsia="es-CR"/>
              </w:rPr>
            </w:pPr>
          </w:p>
        </w:tc>
        <w:tc>
          <w:tcPr>
            <w:tcW w:w="326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Mobiliario</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97.686,00</w:t>
            </w:r>
          </w:p>
        </w:tc>
      </w:tr>
      <w:tr w:rsidR="004F3848" w:rsidRPr="004F3848" w:rsidTr="00CC32A8">
        <w:trPr>
          <w:trHeight w:val="300"/>
        </w:trPr>
        <w:tc>
          <w:tcPr>
            <w:tcW w:w="4111" w:type="dxa"/>
            <w:vMerge/>
            <w:tcBorders>
              <w:top w:val="nil"/>
              <w:left w:val="single" w:sz="4" w:space="0" w:color="auto"/>
              <w:bottom w:val="single" w:sz="4" w:space="0" w:color="auto"/>
              <w:right w:val="single" w:sz="4" w:space="0" w:color="auto"/>
            </w:tcBorders>
            <w:vAlign w:val="center"/>
            <w:hideMark/>
          </w:tcPr>
          <w:p w:rsidR="004F3848" w:rsidRPr="004F3848" w:rsidRDefault="004F3848" w:rsidP="004F3848">
            <w:pPr>
              <w:rPr>
                <w:rFonts w:ascii="Calibri" w:hAnsi="Calibri"/>
                <w:color w:val="000000"/>
                <w:sz w:val="22"/>
                <w:szCs w:val="22"/>
                <w:lang w:val="es-CR" w:eastAsia="es-CR"/>
              </w:rPr>
            </w:pPr>
          </w:p>
        </w:tc>
        <w:tc>
          <w:tcPr>
            <w:tcW w:w="326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Equipo</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47.000,00</w:t>
            </w:r>
          </w:p>
        </w:tc>
      </w:tr>
      <w:tr w:rsidR="004F3848" w:rsidRPr="004F3848" w:rsidTr="00CC32A8">
        <w:trPr>
          <w:trHeight w:val="300"/>
        </w:trPr>
        <w:tc>
          <w:tcPr>
            <w:tcW w:w="41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Núcleo Integrado Química Ambiental</w:t>
            </w:r>
          </w:p>
        </w:tc>
        <w:tc>
          <w:tcPr>
            <w:tcW w:w="326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Colector de aguas negras del sector suroeste</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100.000,00</w:t>
            </w:r>
          </w:p>
        </w:tc>
      </w:tr>
      <w:tr w:rsidR="004F3848" w:rsidRPr="004F3848" w:rsidTr="00CC32A8">
        <w:trPr>
          <w:trHeight w:val="300"/>
        </w:trPr>
        <w:tc>
          <w:tcPr>
            <w:tcW w:w="4111" w:type="dxa"/>
            <w:vMerge/>
            <w:tcBorders>
              <w:top w:val="nil"/>
              <w:left w:val="single" w:sz="4" w:space="0" w:color="auto"/>
              <w:bottom w:val="single" w:sz="4" w:space="0" w:color="auto"/>
              <w:right w:val="single" w:sz="4" w:space="0" w:color="auto"/>
            </w:tcBorders>
            <w:vAlign w:val="center"/>
            <w:hideMark/>
          </w:tcPr>
          <w:p w:rsidR="004F3848" w:rsidRPr="004F3848" w:rsidRDefault="004F3848" w:rsidP="004F3848">
            <w:pPr>
              <w:rPr>
                <w:rFonts w:ascii="Calibri" w:hAnsi="Calibri"/>
                <w:color w:val="000000"/>
                <w:sz w:val="22"/>
                <w:szCs w:val="22"/>
                <w:lang w:val="es-CR" w:eastAsia="es-CR"/>
              </w:rPr>
            </w:pPr>
          </w:p>
        </w:tc>
        <w:tc>
          <w:tcPr>
            <w:tcW w:w="326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Equipo</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500.000,00</w:t>
            </w:r>
          </w:p>
        </w:tc>
      </w:tr>
      <w:tr w:rsidR="004F3848" w:rsidRPr="004F3848" w:rsidTr="00CC32A8">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Fortalecimiento Centro Académico San José</w:t>
            </w:r>
          </w:p>
        </w:tc>
        <w:tc>
          <w:tcPr>
            <w:tcW w:w="3260"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22"/>
                <w:szCs w:val="22"/>
                <w:lang w:val="es-CR" w:eastAsia="es-CR"/>
              </w:rPr>
            </w:pPr>
            <w:r w:rsidRPr="004F3848">
              <w:rPr>
                <w:rFonts w:ascii="Calibri" w:hAnsi="Calibri"/>
                <w:color w:val="000000"/>
                <w:sz w:val="22"/>
                <w:szCs w:val="22"/>
                <w:lang w:val="es-CR" w:eastAsia="es-CR"/>
              </w:rPr>
              <w:t>Acometida eléctrica</w:t>
            </w:r>
          </w:p>
        </w:tc>
        <w:tc>
          <w:tcPr>
            <w:tcW w:w="1418" w:type="dxa"/>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22"/>
                <w:szCs w:val="22"/>
                <w:lang w:val="es-CR" w:eastAsia="es-CR"/>
              </w:rPr>
            </w:pPr>
            <w:r w:rsidRPr="004F3848">
              <w:rPr>
                <w:rFonts w:ascii="Calibri" w:hAnsi="Calibri"/>
                <w:color w:val="000000"/>
                <w:sz w:val="22"/>
                <w:szCs w:val="22"/>
                <w:lang w:val="es-CR" w:eastAsia="es-CR"/>
              </w:rPr>
              <w:t>100.000,00</w:t>
            </w:r>
          </w:p>
        </w:tc>
      </w:tr>
      <w:tr w:rsidR="004F3848" w:rsidRPr="004F3848" w:rsidTr="004F3848">
        <w:trPr>
          <w:trHeight w:val="300"/>
        </w:trPr>
        <w:tc>
          <w:tcPr>
            <w:tcW w:w="4111" w:type="dxa"/>
            <w:tcBorders>
              <w:top w:val="nil"/>
              <w:left w:val="single" w:sz="4" w:space="0" w:color="auto"/>
              <w:bottom w:val="single" w:sz="4" w:space="0" w:color="auto"/>
              <w:right w:val="nil"/>
            </w:tcBorders>
            <w:shd w:val="clear" w:color="auto" w:fill="0F243E"/>
            <w:noWrap/>
            <w:vAlign w:val="bottom"/>
            <w:hideMark/>
          </w:tcPr>
          <w:p w:rsidR="004F3848" w:rsidRPr="004F3848" w:rsidRDefault="004F3848" w:rsidP="004F3848">
            <w:pPr>
              <w:rPr>
                <w:rFonts w:ascii="Calibri" w:hAnsi="Calibri"/>
                <w:b/>
                <w:bCs/>
                <w:color w:val="FFFFFF"/>
                <w:sz w:val="22"/>
                <w:szCs w:val="22"/>
                <w:lang w:val="es-CR" w:eastAsia="es-CR"/>
              </w:rPr>
            </w:pPr>
            <w:r w:rsidRPr="004F3848">
              <w:rPr>
                <w:rFonts w:ascii="Calibri" w:hAnsi="Calibri"/>
                <w:b/>
                <w:bCs/>
                <w:color w:val="FFFFFF"/>
                <w:sz w:val="22"/>
                <w:szCs w:val="22"/>
                <w:lang w:val="es-CR" w:eastAsia="es-CR"/>
              </w:rPr>
              <w:t>TOTAL</w:t>
            </w:r>
          </w:p>
        </w:tc>
        <w:tc>
          <w:tcPr>
            <w:tcW w:w="3260" w:type="dxa"/>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rPr>
                <w:rFonts w:ascii="Calibri" w:hAnsi="Calibri"/>
                <w:b/>
                <w:bCs/>
                <w:color w:val="FFFFFF"/>
                <w:sz w:val="22"/>
                <w:szCs w:val="22"/>
                <w:lang w:val="es-CR" w:eastAsia="es-CR"/>
              </w:rPr>
            </w:pPr>
            <w:r w:rsidRPr="004F3848">
              <w:rPr>
                <w:rFonts w:ascii="Calibri" w:hAnsi="Calibri"/>
                <w:b/>
                <w:bCs/>
                <w:color w:val="FFFFFF"/>
                <w:sz w:val="22"/>
                <w:szCs w:val="22"/>
                <w:lang w:val="es-CR" w:eastAsia="es-CR"/>
              </w:rPr>
              <w:t> </w:t>
            </w:r>
          </w:p>
        </w:tc>
        <w:tc>
          <w:tcPr>
            <w:tcW w:w="1418" w:type="dxa"/>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color w:val="FFFFFF"/>
                <w:sz w:val="22"/>
                <w:szCs w:val="22"/>
                <w:lang w:val="es-CR" w:eastAsia="es-CR"/>
              </w:rPr>
            </w:pPr>
            <w:r w:rsidRPr="004F3848">
              <w:rPr>
                <w:rFonts w:ascii="Calibri" w:hAnsi="Calibri"/>
                <w:b/>
                <w:bCs/>
                <w:color w:val="FFFFFF"/>
                <w:sz w:val="22"/>
                <w:szCs w:val="22"/>
                <w:lang w:val="es-CR" w:eastAsia="es-CR"/>
              </w:rPr>
              <w:t>994.686,00</w:t>
            </w:r>
          </w:p>
        </w:tc>
      </w:tr>
      <w:tr w:rsidR="004F3848" w:rsidRPr="004F3848" w:rsidTr="00CC32A8">
        <w:trPr>
          <w:trHeight w:val="300"/>
        </w:trPr>
        <w:tc>
          <w:tcPr>
            <w:tcW w:w="7371" w:type="dxa"/>
            <w:gridSpan w:val="2"/>
            <w:tcBorders>
              <w:top w:val="nil"/>
              <w:left w:val="nil"/>
              <w:bottom w:val="nil"/>
              <w:right w:val="nil"/>
            </w:tcBorders>
            <w:shd w:val="clear" w:color="auto" w:fill="auto"/>
            <w:noWrap/>
            <w:vAlign w:val="bottom"/>
            <w:hideMark/>
          </w:tcPr>
          <w:p w:rsidR="004F3848" w:rsidRPr="004F3848" w:rsidRDefault="004F3848" w:rsidP="004F3848">
            <w:pPr>
              <w:rPr>
                <w:rFonts w:ascii="Calibri" w:hAnsi="Calibri"/>
                <w:color w:val="000000"/>
                <w:sz w:val="20"/>
                <w:szCs w:val="20"/>
                <w:lang w:val="es-CR" w:eastAsia="es-CR"/>
              </w:rPr>
            </w:pPr>
            <w:r w:rsidRPr="004F3848">
              <w:rPr>
                <w:rFonts w:ascii="Calibri" w:hAnsi="Calibri"/>
                <w:color w:val="000000"/>
                <w:sz w:val="20"/>
                <w:szCs w:val="20"/>
                <w:lang w:val="es-CR" w:eastAsia="es-CR"/>
              </w:rPr>
              <w:t>*por construcción de calle de acceso para carga y descarga de provisiones del comedor</w:t>
            </w:r>
          </w:p>
          <w:p w:rsidR="004F3848" w:rsidRPr="004F3848" w:rsidRDefault="004F3848" w:rsidP="004F3848">
            <w:pPr>
              <w:rPr>
                <w:rFonts w:ascii="Calibri" w:hAnsi="Calibri"/>
                <w:color w:val="000000"/>
                <w:sz w:val="20"/>
                <w:szCs w:val="20"/>
                <w:lang w:val="es-CR" w:eastAsia="es-CR"/>
              </w:rPr>
            </w:pPr>
          </w:p>
        </w:tc>
        <w:tc>
          <w:tcPr>
            <w:tcW w:w="1418" w:type="dxa"/>
            <w:tcBorders>
              <w:top w:val="nil"/>
              <w:left w:val="nil"/>
              <w:bottom w:val="nil"/>
              <w:right w:val="nil"/>
            </w:tcBorders>
            <w:shd w:val="clear" w:color="auto" w:fill="auto"/>
            <w:noWrap/>
            <w:vAlign w:val="bottom"/>
            <w:hideMark/>
          </w:tcPr>
          <w:p w:rsidR="004F3848" w:rsidRPr="004F3848" w:rsidRDefault="004F3848" w:rsidP="004F3848">
            <w:pPr>
              <w:rPr>
                <w:rFonts w:ascii="Calibri" w:hAnsi="Calibri"/>
                <w:color w:val="000000"/>
                <w:sz w:val="20"/>
                <w:szCs w:val="20"/>
                <w:lang w:val="es-CR" w:eastAsia="es-CR"/>
              </w:rPr>
            </w:pPr>
          </w:p>
        </w:tc>
      </w:tr>
    </w:tbl>
    <w:p w:rsidR="004F3848" w:rsidRPr="004F3848" w:rsidRDefault="004F3848" w:rsidP="004F3848">
      <w:pPr>
        <w:numPr>
          <w:ilvl w:val="0"/>
          <w:numId w:val="25"/>
        </w:numPr>
        <w:jc w:val="both"/>
        <w:rPr>
          <w:rFonts w:ascii="Arial" w:hAnsi="Arial" w:cs="Arial"/>
          <w:lang w:val="es-CR"/>
        </w:rPr>
      </w:pPr>
      <w:r w:rsidRPr="004F3848">
        <w:rPr>
          <w:rFonts w:ascii="Arial" w:hAnsi="Arial" w:cs="Arial"/>
          <w:lang w:val="es-CR"/>
        </w:rPr>
        <w:t>El retraso en el inicio de la construcción del edificio de la iniciativa Núcleo Integrado Química Ambiental, provocado por la apelación que se presentó en su momento al acto de adjudicación, tuvo el efecto de que la finalización de las obras de urbanización, cargadas a la iniciativa de Biblioteca, estuvieran antes de la finalización de la construcción de Química.</w:t>
      </w:r>
    </w:p>
    <w:p w:rsidR="004F3848" w:rsidRPr="004F3848" w:rsidRDefault="004F3848" w:rsidP="004F3848">
      <w:pPr>
        <w:ind w:left="284"/>
        <w:jc w:val="both"/>
        <w:rPr>
          <w:rFonts w:ascii="Arial" w:hAnsi="Arial" w:cs="Arial"/>
          <w:sz w:val="16"/>
          <w:szCs w:val="16"/>
          <w:lang w:val="es-CR"/>
        </w:rPr>
      </w:pPr>
    </w:p>
    <w:p w:rsidR="004F3848" w:rsidRPr="004F3848" w:rsidRDefault="004F3848" w:rsidP="004F3848">
      <w:pPr>
        <w:ind w:left="426"/>
        <w:jc w:val="both"/>
        <w:rPr>
          <w:rFonts w:ascii="Arial" w:hAnsi="Arial" w:cs="Arial"/>
          <w:lang w:val="es-CR"/>
        </w:rPr>
      </w:pPr>
      <w:r w:rsidRPr="004F3848">
        <w:rPr>
          <w:rFonts w:ascii="Arial" w:hAnsi="Arial" w:cs="Arial"/>
          <w:lang w:val="es-CR"/>
        </w:rPr>
        <w:t>Para evitar el deterioro de la carretera por el trasiego materiales de construcción en transporte pesado, se negoció con la empresa constructora (la misma en ambas iniciativas) de forma que el tramo de carretera que pasa frente a Química sea construido junto a la finalización de esta edificación;  lo cual origina que deba trasladarse fondos del rubro de infraestructura de la iniciativa Ampliación de Biblioteca al mismo rubro de la iniciativa Núcleo Integrado de Química Ambiental, por un monto de CR₡ 13.341.542,00.</w:t>
      </w:r>
    </w:p>
    <w:p w:rsidR="004F3848" w:rsidRPr="004F3848" w:rsidRDefault="004F3848" w:rsidP="004F3848">
      <w:pPr>
        <w:ind w:left="284"/>
        <w:jc w:val="both"/>
        <w:rPr>
          <w:rFonts w:ascii="Arial" w:hAnsi="Arial" w:cs="Arial"/>
          <w:sz w:val="20"/>
          <w:szCs w:val="20"/>
          <w:lang w:val="es-CR"/>
        </w:rPr>
      </w:pPr>
    </w:p>
    <w:p w:rsidR="004F3848" w:rsidRPr="004F3848" w:rsidRDefault="004F3848" w:rsidP="004F3848">
      <w:pPr>
        <w:numPr>
          <w:ilvl w:val="0"/>
          <w:numId w:val="25"/>
        </w:numPr>
        <w:ind w:left="426" w:hanging="426"/>
        <w:jc w:val="both"/>
        <w:rPr>
          <w:rFonts w:ascii="Arial" w:hAnsi="Arial" w:cs="Arial"/>
          <w:lang w:val="es-CR"/>
        </w:rPr>
      </w:pPr>
      <w:r w:rsidRPr="004F3848">
        <w:rPr>
          <w:rFonts w:ascii="Arial" w:hAnsi="Arial" w:cs="Arial"/>
          <w:lang w:val="es-CR"/>
        </w:rPr>
        <w:t xml:space="preserve">Se debió corregir el monto en dólares estadounidenses, de la adjudicación de la construcción de los módulos de investigación de la iniciativa Fortalecimiento Sede Regional San Carlos, </w:t>
      </w:r>
      <w:proofErr w:type="spellStart"/>
      <w:r w:rsidRPr="004F3848">
        <w:rPr>
          <w:rFonts w:ascii="Arial" w:hAnsi="Arial" w:cs="Arial"/>
          <w:lang w:val="es-CR"/>
        </w:rPr>
        <w:t>Biotec-Protec</w:t>
      </w:r>
      <w:proofErr w:type="spellEnd"/>
      <w:r w:rsidRPr="004F3848">
        <w:rPr>
          <w:rFonts w:ascii="Arial" w:hAnsi="Arial" w:cs="Arial"/>
          <w:lang w:val="es-CR"/>
        </w:rPr>
        <w:t>, usando el tipo de cambio que utiliza Tesorería Nacional para el ITCR, cuando se deben hacer pagos en colones ya que se ajusta más a la realidad, que el usado para los bancos y que es el que se usa con fines de evaluación de ofertas.</w:t>
      </w:r>
    </w:p>
    <w:p w:rsidR="004F3848" w:rsidRPr="004F3848" w:rsidRDefault="004F3848" w:rsidP="004F3848">
      <w:pPr>
        <w:ind w:left="426" w:hanging="426"/>
        <w:jc w:val="both"/>
        <w:rPr>
          <w:rFonts w:ascii="Arial" w:hAnsi="Arial" w:cs="Arial"/>
          <w:lang w:val="es-CR"/>
        </w:rPr>
      </w:pPr>
    </w:p>
    <w:p w:rsidR="004F3848" w:rsidRPr="004F3848" w:rsidRDefault="004F3848" w:rsidP="004F3848">
      <w:pPr>
        <w:numPr>
          <w:ilvl w:val="0"/>
          <w:numId w:val="25"/>
        </w:numPr>
        <w:ind w:left="426" w:hanging="426"/>
        <w:jc w:val="both"/>
        <w:rPr>
          <w:rFonts w:ascii="Arial" w:hAnsi="Arial" w:cs="Arial"/>
          <w:lang w:val="es-CR"/>
        </w:rPr>
      </w:pPr>
      <w:r w:rsidRPr="004F3848">
        <w:rPr>
          <w:rFonts w:ascii="Arial" w:hAnsi="Arial" w:cs="Arial"/>
          <w:lang w:val="es-CR"/>
        </w:rPr>
        <w:t>Los alcances del PMI no se modifican, pues el equipamiento del Comedor Estudiantil será financiado con fondos de contrapartida tal como se indicó en el oficio ViDa-UCPI-152-2016.</w:t>
      </w:r>
    </w:p>
    <w:p w:rsidR="004F3848" w:rsidRPr="004F3848" w:rsidRDefault="004F3848" w:rsidP="004F3848">
      <w:pPr>
        <w:ind w:left="426" w:hanging="426"/>
        <w:jc w:val="both"/>
        <w:rPr>
          <w:rFonts w:ascii="Arial" w:hAnsi="Arial" w:cs="Arial"/>
          <w:lang w:val="es-CR"/>
        </w:rPr>
      </w:pPr>
    </w:p>
    <w:p w:rsidR="004F3848" w:rsidRDefault="004F3848" w:rsidP="004F3848">
      <w:pPr>
        <w:numPr>
          <w:ilvl w:val="0"/>
          <w:numId w:val="25"/>
        </w:numPr>
        <w:jc w:val="both"/>
        <w:rPr>
          <w:rFonts w:ascii="Arial" w:hAnsi="Arial" w:cs="Arial"/>
          <w:lang w:val="es-CR"/>
        </w:rPr>
      </w:pPr>
      <w:r w:rsidRPr="004F3848">
        <w:rPr>
          <w:rFonts w:ascii="Arial" w:hAnsi="Arial" w:cs="Arial"/>
          <w:lang w:val="es-CR"/>
        </w:rPr>
        <w:t>En el cuadro siguiente se presentan los cambios generados en la redistribución de fondos del financiamiento explicada anteriormente.</w:t>
      </w:r>
    </w:p>
    <w:p w:rsidR="00160BC2" w:rsidRDefault="00160BC2" w:rsidP="00160BC2">
      <w:pPr>
        <w:pStyle w:val="Prrafodelista"/>
        <w:rPr>
          <w:rFonts w:ascii="Arial" w:hAnsi="Arial" w:cs="Arial"/>
          <w:lang w:val="es-CR"/>
        </w:rPr>
      </w:pPr>
    </w:p>
    <w:p w:rsidR="00160BC2" w:rsidRPr="004F3848" w:rsidRDefault="00160BC2" w:rsidP="00160BC2">
      <w:pPr>
        <w:jc w:val="both"/>
        <w:rPr>
          <w:rFonts w:ascii="Arial" w:hAnsi="Arial" w:cs="Arial"/>
          <w:lang w:val="es-CR"/>
        </w:rPr>
      </w:pPr>
    </w:p>
    <w:p w:rsidR="004F3848" w:rsidRPr="004F3848" w:rsidRDefault="004F3848" w:rsidP="004F3848">
      <w:pPr>
        <w:ind w:left="708"/>
        <w:rPr>
          <w:rFonts w:ascii="Arial" w:hAnsi="Arial" w:cs="Arial"/>
          <w:lang w:val="es-CR"/>
        </w:rPr>
      </w:pPr>
    </w:p>
    <w:p w:rsidR="004F3848" w:rsidRPr="004F3848" w:rsidRDefault="004F3848" w:rsidP="004F3848">
      <w:pPr>
        <w:spacing w:after="120"/>
        <w:ind w:left="284"/>
        <w:jc w:val="both"/>
        <w:rPr>
          <w:rFonts w:ascii="Arial" w:hAnsi="Arial" w:cs="Arial"/>
          <w:sz w:val="22"/>
          <w:szCs w:val="20"/>
          <w:lang w:val="es-CR"/>
        </w:rPr>
      </w:pPr>
      <w:r w:rsidRPr="004F3848">
        <w:rPr>
          <w:rFonts w:ascii="Arial" w:hAnsi="Arial" w:cs="Arial"/>
          <w:b/>
          <w:sz w:val="22"/>
          <w:szCs w:val="20"/>
          <w:lang w:val="es-CR"/>
        </w:rPr>
        <w:lastRenderedPageBreak/>
        <w:t>Cuadro 2.</w:t>
      </w:r>
      <w:r w:rsidRPr="004F3848">
        <w:rPr>
          <w:rFonts w:ascii="Arial" w:hAnsi="Arial" w:cs="Arial"/>
          <w:sz w:val="22"/>
          <w:szCs w:val="20"/>
          <w:lang w:val="es-CR"/>
        </w:rPr>
        <w:t xml:space="preserve"> Cambios propuestos en la distribución de fondos del financiamiento del PMI-ITCR</w:t>
      </w:r>
    </w:p>
    <w:p w:rsidR="004F3848" w:rsidRPr="004F3848" w:rsidRDefault="004F3848" w:rsidP="004F3848">
      <w:pPr>
        <w:spacing w:after="120"/>
        <w:ind w:left="284"/>
        <w:jc w:val="both"/>
        <w:rPr>
          <w:rFonts w:ascii="Arial" w:hAnsi="Arial" w:cs="Arial"/>
          <w:sz w:val="22"/>
          <w:szCs w:val="20"/>
          <w:lang w:val="es-CR"/>
        </w:rPr>
      </w:pPr>
    </w:p>
    <w:tbl>
      <w:tblPr>
        <w:tblW w:w="5902" w:type="pct"/>
        <w:tblInd w:w="-998" w:type="dxa"/>
        <w:tblLayout w:type="fixed"/>
        <w:tblCellMar>
          <w:left w:w="70" w:type="dxa"/>
          <w:right w:w="70" w:type="dxa"/>
        </w:tblCellMar>
        <w:tblLook w:val="04A0" w:firstRow="1" w:lastRow="0" w:firstColumn="1" w:lastColumn="0" w:noHBand="0" w:noVBand="1"/>
      </w:tblPr>
      <w:tblGrid>
        <w:gridCol w:w="249"/>
        <w:gridCol w:w="1653"/>
        <w:gridCol w:w="990"/>
        <w:gridCol w:w="723"/>
        <w:gridCol w:w="563"/>
        <w:gridCol w:w="582"/>
        <w:gridCol w:w="791"/>
        <w:gridCol w:w="813"/>
        <w:gridCol w:w="813"/>
        <w:gridCol w:w="811"/>
        <w:gridCol w:w="813"/>
        <w:gridCol w:w="950"/>
        <w:gridCol w:w="943"/>
      </w:tblGrid>
      <w:tr w:rsidR="004F3848" w:rsidRPr="004F3848" w:rsidTr="004F3848">
        <w:trPr>
          <w:trHeight w:val="327"/>
          <w:tblHeader/>
        </w:trPr>
        <w:tc>
          <w:tcPr>
            <w:tcW w:w="117" w:type="pct"/>
            <w:vMerge w:val="restart"/>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jc w:val="center"/>
              <w:rPr>
                <w:rFonts w:ascii="Arial" w:hAnsi="Arial" w:cs="Arial"/>
                <w:b/>
                <w:bCs/>
                <w:color w:val="FFFFFF"/>
                <w:sz w:val="16"/>
                <w:szCs w:val="16"/>
                <w:lang w:val="es-CR" w:eastAsia="es-CR"/>
              </w:rPr>
            </w:pPr>
            <w:r w:rsidRPr="004F3848">
              <w:rPr>
                <w:rFonts w:ascii="Arial" w:hAnsi="Arial" w:cs="Arial"/>
                <w:b/>
                <w:bCs/>
                <w:color w:val="FFFFFF"/>
                <w:sz w:val="16"/>
                <w:szCs w:val="16"/>
                <w:lang w:val="es-CR" w:eastAsia="es-CR"/>
              </w:rPr>
              <w:t>#</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jc w:val="center"/>
              <w:rPr>
                <w:rFonts w:ascii="Arial" w:hAnsi="Arial" w:cs="Arial"/>
                <w:b/>
                <w:bCs/>
                <w:color w:val="FFFFFF"/>
                <w:sz w:val="16"/>
                <w:szCs w:val="16"/>
                <w:lang w:val="es-CR" w:eastAsia="es-CR"/>
              </w:rPr>
            </w:pPr>
            <w:r w:rsidRPr="004F3848">
              <w:rPr>
                <w:rFonts w:ascii="Arial" w:hAnsi="Arial" w:cs="Arial"/>
                <w:b/>
                <w:bCs/>
                <w:color w:val="FFFFFF"/>
                <w:sz w:val="16"/>
                <w:szCs w:val="16"/>
                <w:lang w:val="es-CR" w:eastAsia="es-CR"/>
              </w:rPr>
              <w:t>Nombre de la iniciativa</w:t>
            </w:r>
          </w:p>
        </w:tc>
        <w:tc>
          <w:tcPr>
            <w:tcW w:w="1706" w:type="pct"/>
            <w:gridSpan w:val="5"/>
            <w:vMerge w:val="restart"/>
            <w:tcBorders>
              <w:top w:val="single" w:sz="4" w:space="0" w:color="auto"/>
              <w:left w:val="single" w:sz="4" w:space="0" w:color="auto"/>
              <w:bottom w:val="single" w:sz="4" w:space="0" w:color="000000"/>
              <w:right w:val="single" w:sz="4" w:space="0" w:color="000000"/>
            </w:tcBorders>
            <w:shd w:val="clear" w:color="000000" w:fill="BDD7EE"/>
            <w:vAlign w:val="bottom"/>
            <w:hideMark/>
          </w:tcPr>
          <w:p w:rsidR="004F3848" w:rsidRPr="004F3848" w:rsidRDefault="004F3848" w:rsidP="004F3848">
            <w:pPr>
              <w:jc w:val="center"/>
              <w:rPr>
                <w:rFonts w:ascii="Calibri" w:hAnsi="Calibri"/>
                <w:b/>
                <w:bCs/>
                <w:color w:val="000000"/>
                <w:sz w:val="16"/>
                <w:szCs w:val="16"/>
                <w:lang w:val="es-CR" w:eastAsia="es-CR"/>
              </w:rPr>
            </w:pPr>
            <w:r w:rsidRPr="004F3848">
              <w:rPr>
                <w:rFonts w:ascii="Calibri" w:hAnsi="Calibri"/>
                <w:b/>
                <w:bCs/>
                <w:color w:val="000000"/>
                <w:sz w:val="16"/>
                <w:szCs w:val="16"/>
                <w:lang w:val="es-CR" w:eastAsia="es-CR"/>
              </w:rPr>
              <w:t xml:space="preserve">PMI VIGENTE </w:t>
            </w:r>
            <w:r w:rsidRPr="004F3848">
              <w:rPr>
                <w:rFonts w:ascii="Calibri" w:hAnsi="Calibri"/>
                <w:b/>
                <w:bCs/>
                <w:color w:val="000000"/>
                <w:sz w:val="16"/>
                <w:szCs w:val="16"/>
                <w:lang w:val="es-CR" w:eastAsia="es-CR"/>
              </w:rPr>
              <w:br/>
              <w:t>(Aprobado en CI en SO No. 2993, Artículo 9, del 12-10-2016 y por BM el 25-10-2016 en oficio CR-8194-ITCR-2016-094) (US$)</w:t>
            </w:r>
          </w:p>
        </w:tc>
        <w:tc>
          <w:tcPr>
            <w:tcW w:w="1963" w:type="pct"/>
            <w:gridSpan w:val="5"/>
            <w:vMerge w:val="restart"/>
            <w:tcBorders>
              <w:top w:val="single" w:sz="4" w:space="0" w:color="auto"/>
              <w:left w:val="single" w:sz="4" w:space="0" w:color="auto"/>
              <w:bottom w:val="single" w:sz="4" w:space="0" w:color="000000"/>
              <w:right w:val="single" w:sz="4" w:space="0" w:color="000000"/>
            </w:tcBorders>
            <w:shd w:val="clear" w:color="000000" w:fill="8EA9DB"/>
            <w:vAlign w:val="bottom"/>
            <w:hideMark/>
          </w:tcPr>
          <w:p w:rsidR="004F3848" w:rsidRPr="004F3848" w:rsidRDefault="004F3848" w:rsidP="004F3848">
            <w:pPr>
              <w:tabs>
                <w:tab w:val="left" w:pos="4712"/>
              </w:tabs>
              <w:jc w:val="center"/>
              <w:rPr>
                <w:rFonts w:ascii="Calibri" w:hAnsi="Calibri"/>
                <w:b/>
                <w:bCs/>
                <w:color w:val="000000"/>
                <w:sz w:val="16"/>
                <w:szCs w:val="16"/>
                <w:lang w:val="es-CR" w:eastAsia="es-CR"/>
              </w:rPr>
            </w:pPr>
            <w:r w:rsidRPr="004F3848">
              <w:rPr>
                <w:rFonts w:ascii="Calibri" w:hAnsi="Calibri"/>
                <w:b/>
                <w:bCs/>
                <w:color w:val="000000"/>
                <w:sz w:val="16"/>
                <w:szCs w:val="16"/>
                <w:lang w:val="es-CR" w:eastAsia="es-CR"/>
              </w:rPr>
              <w:t>PMI PROPUESTO FINANCIAMIENTO EXTERNO</w:t>
            </w:r>
            <w:r w:rsidRPr="004F3848">
              <w:rPr>
                <w:rFonts w:ascii="Calibri" w:hAnsi="Calibri"/>
                <w:b/>
                <w:bCs/>
                <w:color w:val="000000"/>
                <w:sz w:val="16"/>
                <w:szCs w:val="16"/>
                <w:lang w:val="es-CR" w:eastAsia="es-CR"/>
              </w:rPr>
              <w:br/>
              <w:t>NUEVO MONTOS (US$)</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jc w:val="center"/>
              <w:rPr>
                <w:rFonts w:ascii="Calibri" w:hAnsi="Calibri"/>
                <w:b/>
                <w:bCs/>
                <w:color w:val="FFFFFF"/>
                <w:sz w:val="16"/>
                <w:szCs w:val="16"/>
                <w:lang w:val="es-CR" w:eastAsia="es-CR"/>
              </w:rPr>
            </w:pPr>
            <w:r w:rsidRPr="004F3848">
              <w:rPr>
                <w:rFonts w:ascii="Calibri" w:hAnsi="Calibri"/>
                <w:b/>
                <w:bCs/>
                <w:color w:val="FFFFFF"/>
                <w:sz w:val="16"/>
                <w:szCs w:val="16"/>
                <w:lang w:val="es-CR" w:eastAsia="es-CR"/>
              </w:rPr>
              <w:t>Rema-</w:t>
            </w:r>
            <w:proofErr w:type="spellStart"/>
            <w:r w:rsidRPr="004F3848">
              <w:rPr>
                <w:rFonts w:ascii="Calibri" w:hAnsi="Calibri"/>
                <w:b/>
                <w:bCs/>
                <w:color w:val="FFFFFF"/>
                <w:sz w:val="16"/>
                <w:szCs w:val="16"/>
                <w:lang w:val="es-CR" w:eastAsia="es-CR"/>
              </w:rPr>
              <w:t>nente</w:t>
            </w:r>
            <w:proofErr w:type="spellEnd"/>
            <w:r w:rsidRPr="004F3848">
              <w:rPr>
                <w:rFonts w:ascii="Calibri" w:hAnsi="Calibri"/>
                <w:b/>
                <w:bCs/>
                <w:color w:val="FFFFFF"/>
                <w:sz w:val="16"/>
                <w:szCs w:val="16"/>
                <w:lang w:val="es-CR" w:eastAsia="es-CR"/>
              </w:rPr>
              <w:t>/</w:t>
            </w:r>
          </w:p>
          <w:p w:rsidR="004F3848" w:rsidRPr="004F3848" w:rsidRDefault="004F3848" w:rsidP="004F3848">
            <w:pPr>
              <w:jc w:val="center"/>
              <w:rPr>
                <w:rFonts w:ascii="Calibri" w:hAnsi="Calibri"/>
                <w:b/>
                <w:bCs/>
                <w:color w:val="FFFFFF"/>
                <w:sz w:val="16"/>
                <w:szCs w:val="16"/>
                <w:lang w:val="es-CR" w:eastAsia="es-CR"/>
              </w:rPr>
            </w:pPr>
            <w:r w:rsidRPr="004F3848">
              <w:rPr>
                <w:rFonts w:ascii="Calibri" w:hAnsi="Calibri"/>
                <w:b/>
                <w:bCs/>
                <w:color w:val="FFFFFF"/>
                <w:sz w:val="16"/>
                <w:szCs w:val="16"/>
                <w:lang w:val="es-CR" w:eastAsia="es-CR"/>
              </w:rPr>
              <w:t>faltante</w:t>
            </w:r>
          </w:p>
        </w:tc>
      </w:tr>
      <w:tr w:rsidR="004F3848" w:rsidRPr="004F3848" w:rsidTr="004F3848">
        <w:trPr>
          <w:trHeight w:val="655"/>
          <w:tblHeader/>
        </w:trPr>
        <w:tc>
          <w:tcPr>
            <w:tcW w:w="117"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6"/>
                <w:szCs w:val="16"/>
                <w:lang w:val="es-CR" w:eastAsia="es-CR"/>
              </w:rPr>
            </w:pPr>
          </w:p>
        </w:tc>
        <w:tc>
          <w:tcPr>
            <w:tcW w:w="773"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6"/>
                <w:szCs w:val="16"/>
                <w:lang w:val="es-CR" w:eastAsia="es-CR"/>
              </w:rPr>
            </w:pPr>
          </w:p>
        </w:tc>
        <w:tc>
          <w:tcPr>
            <w:tcW w:w="1706" w:type="pct"/>
            <w:gridSpan w:val="5"/>
            <w:vMerge/>
            <w:tcBorders>
              <w:top w:val="single" w:sz="4" w:space="0" w:color="auto"/>
              <w:left w:val="single" w:sz="4" w:space="0" w:color="auto"/>
              <w:bottom w:val="single" w:sz="4" w:space="0" w:color="000000"/>
              <w:right w:val="single" w:sz="4" w:space="0" w:color="000000"/>
            </w:tcBorders>
            <w:vAlign w:val="center"/>
            <w:hideMark/>
          </w:tcPr>
          <w:p w:rsidR="004F3848" w:rsidRPr="004F3848" w:rsidRDefault="004F3848" w:rsidP="004F3848">
            <w:pPr>
              <w:rPr>
                <w:rFonts w:ascii="Calibri" w:hAnsi="Calibri"/>
                <w:b/>
                <w:bCs/>
                <w:color w:val="000000"/>
                <w:sz w:val="16"/>
                <w:szCs w:val="16"/>
                <w:lang w:val="es-CR" w:eastAsia="es-CR"/>
              </w:rPr>
            </w:pPr>
          </w:p>
        </w:tc>
        <w:tc>
          <w:tcPr>
            <w:tcW w:w="1963" w:type="pct"/>
            <w:gridSpan w:val="5"/>
            <w:vMerge/>
            <w:tcBorders>
              <w:top w:val="single" w:sz="4" w:space="0" w:color="auto"/>
              <w:left w:val="single" w:sz="4" w:space="0" w:color="auto"/>
              <w:bottom w:val="single" w:sz="4" w:space="0" w:color="000000"/>
              <w:right w:val="single" w:sz="4" w:space="0" w:color="000000"/>
            </w:tcBorders>
            <w:vAlign w:val="center"/>
            <w:hideMark/>
          </w:tcPr>
          <w:p w:rsidR="004F3848" w:rsidRPr="004F3848" w:rsidRDefault="004F3848" w:rsidP="004F3848">
            <w:pPr>
              <w:rPr>
                <w:rFonts w:ascii="Calibri" w:hAnsi="Calibri"/>
                <w:b/>
                <w:bCs/>
                <w:color w:val="000000"/>
                <w:sz w:val="16"/>
                <w:szCs w:val="16"/>
                <w:lang w:val="es-CR" w:eastAsia="es-CR"/>
              </w:rPr>
            </w:pPr>
          </w:p>
        </w:tc>
        <w:tc>
          <w:tcPr>
            <w:tcW w:w="441"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Calibri" w:hAnsi="Calibri"/>
                <w:b/>
                <w:bCs/>
                <w:color w:val="FFFFFF"/>
                <w:sz w:val="16"/>
                <w:szCs w:val="16"/>
                <w:lang w:val="es-CR" w:eastAsia="es-CR"/>
              </w:rPr>
            </w:pPr>
          </w:p>
        </w:tc>
      </w:tr>
      <w:tr w:rsidR="004F3848" w:rsidRPr="004F3848" w:rsidTr="004F3848">
        <w:trPr>
          <w:trHeight w:val="690"/>
          <w:tblHeader/>
        </w:trPr>
        <w:tc>
          <w:tcPr>
            <w:tcW w:w="117"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6"/>
                <w:szCs w:val="16"/>
                <w:lang w:val="es-CR" w:eastAsia="es-CR"/>
              </w:rPr>
            </w:pPr>
          </w:p>
        </w:tc>
        <w:tc>
          <w:tcPr>
            <w:tcW w:w="773"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6"/>
                <w:szCs w:val="16"/>
                <w:lang w:val="es-CR" w:eastAsia="es-CR"/>
              </w:rPr>
            </w:pPr>
          </w:p>
        </w:tc>
        <w:tc>
          <w:tcPr>
            <w:tcW w:w="463" w:type="pct"/>
            <w:tcBorders>
              <w:top w:val="nil"/>
              <w:left w:val="nil"/>
              <w:bottom w:val="single" w:sz="4" w:space="0" w:color="auto"/>
              <w:right w:val="single" w:sz="4" w:space="0" w:color="auto"/>
            </w:tcBorders>
            <w:shd w:val="clear" w:color="000000" w:fill="BDD7EE"/>
            <w:vAlign w:val="center"/>
            <w:hideMark/>
          </w:tcPr>
          <w:p w:rsidR="004F3848" w:rsidRPr="000C2FC6" w:rsidRDefault="004F3848" w:rsidP="000C2FC6">
            <w:pPr>
              <w:jc w:val="center"/>
              <w:rPr>
                <w:rFonts w:ascii="Arial" w:hAnsi="Arial" w:cs="Arial"/>
                <w:b/>
                <w:bCs/>
                <w:color w:val="000000"/>
                <w:sz w:val="14"/>
                <w:szCs w:val="14"/>
                <w:lang w:val="es-CR" w:eastAsia="es-CR"/>
              </w:rPr>
            </w:pPr>
            <w:proofErr w:type="spellStart"/>
            <w:r w:rsidRPr="000C2FC6">
              <w:rPr>
                <w:rFonts w:ascii="Arial" w:hAnsi="Arial" w:cs="Arial"/>
                <w:b/>
                <w:bCs/>
                <w:color w:val="000000"/>
                <w:sz w:val="14"/>
                <w:szCs w:val="14"/>
                <w:lang w:val="es-CR" w:eastAsia="es-CR"/>
              </w:rPr>
              <w:t>Infrae</w:t>
            </w:r>
            <w:r w:rsidR="000C2FC6" w:rsidRPr="000C2FC6">
              <w:rPr>
                <w:rFonts w:ascii="Arial" w:hAnsi="Arial" w:cs="Arial"/>
                <w:b/>
                <w:bCs/>
                <w:color w:val="000000"/>
                <w:sz w:val="14"/>
                <w:szCs w:val="14"/>
                <w:lang w:val="es-CR" w:eastAsia="es-CR"/>
              </w:rPr>
              <w:t>s</w:t>
            </w:r>
            <w:r w:rsidRPr="000C2FC6">
              <w:rPr>
                <w:rFonts w:ascii="Arial" w:hAnsi="Arial" w:cs="Arial"/>
                <w:b/>
                <w:bCs/>
                <w:color w:val="000000"/>
                <w:sz w:val="14"/>
                <w:szCs w:val="14"/>
                <w:lang w:val="es-CR" w:eastAsia="es-CR"/>
              </w:rPr>
              <w:t>truc</w:t>
            </w:r>
            <w:proofErr w:type="spellEnd"/>
            <w:r w:rsidR="000C2FC6" w:rsidRPr="000C2FC6">
              <w:rPr>
                <w:rFonts w:ascii="Arial" w:hAnsi="Arial" w:cs="Arial"/>
                <w:b/>
                <w:bCs/>
                <w:color w:val="000000"/>
                <w:sz w:val="14"/>
                <w:szCs w:val="14"/>
                <w:lang w:val="es-CR" w:eastAsia="es-CR"/>
              </w:rPr>
              <w:t>-</w:t>
            </w:r>
            <w:r w:rsidRPr="000C2FC6">
              <w:rPr>
                <w:rFonts w:ascii="Arial" w:hAnsi="Arial" w:cs="Arial"/>
                <w:b/>
                <w:bCs/>
                <w:color w:val="000000"/>
                <w:sz w:val="14"/>
                <w:szCs w:val="14"/>
                <w:lang w:val="es-CR" w:eastAsia="es-CR"/>
              </w:rPr>
              <w:t xml:space="preserve">tura </w:t>
            </w:r>
          </w:p>
        </w:tc>
        <w:tc>
          <w:tcPr>
            <w:tcW w:w="338" w:type="pct"/>
            <w:tcBorders>
              <w:top w:val="nil"/>
              <w:left w:val="nil"/>
              <w:bottom w:val="single" w:sz="4" w:space="0" w:color="auto"/>
              <w:right w:val="single" w:sz="4" w:space="0" w:color="auto"/>
            </w:tcBorders>
            <w:shd w:val="clear" w:color="000000" w:fill="BDD7EE"/>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Equipamiento</w:t>
            </w:r>
          </w:p>
        </w:tc>
        <w:tc>
          <w:tcPr>
            <w:tcW w:w="263" w:type="pct"/>
            <w:tcBorders>
              <w:top w:val="nil"/>
              <w:left w:val="nil"/>
              <w:bottom w:val="single" w:sz="4" w:space="0" w:color="auto"/>
              <w:right w:val="single" w:sz="4" w:space="0" w:color="auto"/>
            </w:tcBorders>
            <w:shd w:val="clear" w:color="000000" w:fill="BDD7EE"/>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Sistemas</w:t>
            </w:r>
          </w:p>
        </w:tc>
        <w:tc>
          <w:tcPr>
            <w:tcW w:w="272" w:type="pct"/>
            <w:tcBorders>
              <w:top w:val="nil"/>
              <w:left w:val="nil"/>
              <w:bottom w:val="single" w:sz="4" w:space="0" w:color="auto"/>
              <w:right w:val="single" w:sz="4" w:space="0" w:color="auto"/>
            </w:tcBorders>
            <w:shd w:val="clear" w:color="000000" w:fill="BDD7EE"/>
            <w:vAlign w:val="center"/>
            <w:hideMark/>
          </w:tcPr>
          <w:p w:rsidR="004F3848" w:rsidRPr="009A6D33" w:rsidRDefault="004F3848" w:rsidP="004F3848">
            <w:pPr>
              <w:jc w:val="center"/>
              <w:rPr>
                <w:rFonts w:ascii="Arial" w:hAnsi="Arial" w:cs="Arial"/>
                <w:b/>
                <w:bCs/>
                <w:color w:val="000000"/>
                <w:sz w:val="14"/>
                <w:szCs w:val="14"/>
                <w:lang w:val="es-CR" w:eastAsia="es-CR"/>
              </w:rPr>
            </w:pPr>
            <w:r w:rsidRPr="009A6D33">
              <w:rPr>
                <w:rFonts w:ascii="Arial" w:hAnsi="Arial" w:cs="Arial"/>
                <w:b/>
                <w:bCs/>
                <w:color w:val="000000"/>
                <w:sz w:val="14"/>
                <w:szCs w:val="14"/>
                <w:lang w:val="es-CR" w:eastAsia="es-CR"/>
              </w:rPr>
              <w:t>Becas</w:t>
            </w:r>
          </w:p>
        </w:tc>
        <w:tc>
          <w:tcPr>
            <w:tcW w:w="370" w:type="pct"/>
            <w:tcBorders>
              <w:top w:val="nil"/>
              <w:left w:val="nil"/>
              <w:bottom w:val="single" w:sz="4" w:space="0" w:color="auto"/>
              <w:right w:val="single" w:sz="4" w:space="0" w:color="auto"/>
            </w:tcBorders>
            <w:shd w:val="clear" w:color="000000" w:fill="BDD7EE"/>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TOTAL</w:t>
            </w:r>
          </w:p>
        </w:tc>
        <w:tc>
          <w:tcPr>
            <w:tcW w:w="380"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jc w:val="center"/>
              <w:rPr>
                <w:rFonts w:ascii="Arial" w:hAnsi="Arial" w:cs="Arial"/>
                <w:b/>
                <w:bCs/>
                <w:color w:val="000000"/>
                <w:sz w:val="16"/>
                <w:szCs w:val="16"/>
                <w:lang w:val="es-CR" w:eastAsia="es-CR"/>
              </w:rPr>
            </w:pPr>
            <w:proofErr w:type="spellStart"/>
            <w:r w:rsidRPr="004F3848">
              <w:rPr>
                <w:rFonts w:ascii="Arial" w:hAnsi="Arial" w:cs="Arial"/>
                <w:b/>
                <w:bCs/>
                <w:color w:val="000000"/>
                <w:sz w:val="16"/>
                <w:szCs w:val="16"/>
                <w:lang w:val="es-CR" w:eastAsia="es-CR"/>
              </w:rPr>
              <w:t>Infraes</w:t>
            </w:r>
            <w:r w:rsidR="009A6D33">
              <w:rPr>
                <w:rFonts w:ascii="Arial" w:hAnsi="Arial" w:cs="Arial"/>
                <w:b/>
                <w:bCs/>
                <w:color w:val="000000"/>
                <w:sz w:val="16"/>
                <w:szCs w:val="16"/>
                <w:lang w:val="es-CR" w:eastAsia="es-CR"/>
              </w:rPr>
              <w:t>-</w:t>
            </w:r>
            <w:r w:rsidRPr="004F3848">
              <w:rPr>
                <w:rFonts w:ascii="Arial" w:hAnsi="Arial" w:cs="Arial"/>
                <w:b/>
                <w:bCs/>
                <w:color w:val="000000"/>
                <w:sz w:val="16"/>
                <w:szCs w:val="16"/>
                <w:lang w:val="es-CR" w:eastAsia="es-CR"/>
              </w:rPr>
              <w:t>tructura</w:t>
            </w:r>
            <w:proofErr w:type="spellEnd"/>
            <w:r w:rsidRPr="004F3848">
              <w:rPr>
                <w:rFonts w:ascii="Arial" w:hAnsi="Arial" w:cs="Arial"/>
                <w:b/>
                <w:bCs/>
                <w:color w:val="000000"/>
                <w:sz w:val="16"/>
                <w:szCs w:val="16"/>
                <w:lang w:val="es-CR" w:eastAsia="es-CR"/>
              </w:rPr>
              <w:t xml:space="preserve"> </w:t>
            </w:r>
          </w:p>
        </w:tc>
        <w:tc>
          <w:tcPr>
            <w:tcW w:w="380"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Equipamiento</w:t>
            </w:r>
          </w:p>
        </w:tc>
        <w:tc>
          <w:tcPr>
            <w:tcW w:w="379" w:type="pct"/>
            <w:tcBorders>
              <w:top w:val="nil"/>
              <w:left w:val="nil"/>
              <w:bottom w:val="single" w:sz="4" w:space="0" w:color="auto"/>
              <w:right w:val="single" w:sz="4" w:space="0" w:color="auto"/>
            </w:tcBorders>
            <w:shd w:val="clear" w:color="000000" w:fill="8EA9DB"/>
            <w:vAlign w:val="center"/>
            <w:hideMark/>
          </w:tcPr>
          <w:p w:rsidR="004F3848" w:rsidRPr="009A6D33" w:rsidRDefault="004F3848" w:rsidP="004F3848">
            <w:pPr>
              <w:jc w:val="center"/>
              <w:rPr>
                <w:rFonts w:ascii="Arial" w:hAnsi="Arial" w:cs="Arial"/>
                <w:b/>
                <w:bCs/>
                <w:color w:val="000000"/>
                <w:sz w:val="14"/>
                <w:szCs w:val="14"/>
                <w:lang w:val="es-CR" w:eastAsia="es-CR"/>
              </w:rPr>
            </w:pPr>
            <w:r w:rsidRPr="009A6D33">
              <w:rPr>
                <w:rFonts w:ascii="Arial" w:hAnsi="Arial" w:cs="Arial"/>
                <w:b/>
                <w:bCs/>
                <w:color w:val="000000"/>
                <w:sz w:val="14"/>
                <w:szCs w:val="14"/>
                <w:lang w:val="es-CR" w:eastAsia="es-CR"/>
              </w:rPr>
              <w:t>Sistemas</w:t>
            </w:r>
            <w:r w:rsidRPr="009A6D33">
              <w:rPr>
                <w:rFonts w:ascii="Arial" w:hAnsi="Arial" w:cs="Arial"/>
                <w:b/>
                <w:bCs/>
                <w:color w:val="000000"/>
                <w:sz w:val="14"/>
                <w:szCs w:val="14"/>
                <w:vertAlign w:val="superscript"/>
                <w:lang w:val="es-CR" w:eastAsia="es-CR"/>
              </w:rPr>
              <w:t>1</w:t>
            </w:r>
          </w:p>
        </w:tc>
        <w:tc>
          <w:tcPr>
            <w:tcW w:w="380"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Becas</w:t>
            </w:r>
            <w:r w:rsidRPr="004F3848">
              <w:rPr>
                <w:rFonts w:ascii="Arial" w:hAnsi="Arial" w:cs="Arial"/>
                <w:b/>
                <w:bCs/>
                <w:color w:val="000000"/>
                <w:sz w:val="16"/>
                <w:szCs w:val="16"/>
                <w:vertAlign w:val="superscript"/>
                <w:lang w:val="es-CR" w:eastAsia="es-CR"/>
              </w:rPr>
              <w:t>1</w:t>
            </w:r>
          </w:p>
        </w:tc>
        <w:tc>
          <w:tcPr>
            <w:tcW w:w="444" w:type="pct"/>
            <w:tcBorders>
              <w:top w:val="nil"/>
              <w:left w:val="nil"/>
              <w:bottom w:val="single" w:sz="4" w:space="0" w:color="auto"/>
              <w:right w:val="single" w:sz="4" w:space="0" w:color="auto"/>
            </w:tcBorders>
            <w:shd w:val="clear" w:color="000000" w:fill="8EA9DB"/>
            <w:vAlign w:val="center"/>
            <w:hideMark/>
          </w:tcPr>
          <w:p w:rsidR="004F3848" w:rsidRPr="004F3848" w:rsidRDefault="004F3848" w:rsidP="004F3848">
            <w:pPr>
              <w:jc w:val="center"/>
              <w:rPr>
                <w:rFonts w:ascii="Arial" w:hAnsi="Arial" w:cs="Arial"/>
                <w:b/>
                <w:bCs/>
                <w:color w:val="000000"/>
                <w:sz w:val="16"/>
                <w:szCs w:val="16"/>
                <w:lang w:val="es-CR" w:eastAsia="es-CR"/>
              </w:rPr>
            </w:pPr>
            <w:r w:rsidRPr="004F3848">
              <w:rPr>
                <w:rFonts w:ascii="Arial" w:hAnsi="Arial" w:cs="Arial"/>
                <w:b/>
                <w:bCs/>
                <w:color w:val="000000"/>
                <w:sz w:val="16"/>
                <w:szCs w:val="16"/>
                <w:lang w:val="es-CR" w:eastAsia="es-CR"/>
              </w:rPr>
              <w:t xml:space="preserve">TOTAL </w:t>
            </w:r>
            <w:proofErr w:type="spellStart"/>
            <w:r w:rsidRPr="004F3848">
              <w:rPr>
                <w:rFonts w:ascii="Arial" w:hAnsi="Arial" w:cs="Arial"/>
                <w:b/>
                <w:bCs/>
                <w:color w:val="000000"/>
                <w:sz w:val="16"/>
                <w:szCs w:val="16"/>
                <w:lang w:val="es-CR" w:eastAsia="es-CR"/>
              </w:rPr>
              <w:t>compro</w:t>
            </w:r>
            <w:r w:rsidR="009A6D33">
              <w:rPr>
                <w:rFonts w:ascii="Arial" w:hAnsi="Arial" w:cs="Arial"/>
                <w:b/>
                <w:bCs/>
                <w:color w:val="000000"/>
                <w:sz w:val="16"/>
                <w:szCs w:val="16"/>
                <w:lang w:val="es-CR" w:eastAsia="es-CR"/>
              </w:rPr>
              <w:t>-</w:t>
            </w:r>
            <w:r w:rsidRPr="004F3848">
              <w:rPr>
                <w:rFonts w:ascii="Arial" w:hAnsi="Arial" w:cs="Arial"/>
                <w:b/>
                <w:bCs/>
                <w:color w:val="000000"/>
                <w:sz w:val="16"/>
                <w:szCs w:val="16"/>
                <w:lang w:val="es-CR" w:eastAsia="es-CR"/>
              </w:rPr>
              <w:t>metido+estimado</w:t>
            </w:r>
            <w:proofErr w:type="spellEnd"/>
          </w:p>
        </w:tc>
        <w:tc>
          <w:tcPr>
            <w:tcW w:w="441"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Calibri" w:hAnsi="Calibri"/>
                <w:b/>
                <w:bCs/>
                <w:color w:val="FFFFFF"/>
                <w:sz w:val="16"/>
                <w:szCs w:val="16"/>
                <w:lang w:val="es-CR" w:eastAsia="es-CR"/>
              </w:rPr>
            </w:pPr>
          </w:p>
        </w:tc>
      </w:tr>
      <w:tr w:rsidR="004F3848" w:rsidRPr="004F3848" w:rsidTr="00CC32A8">
        <w:trPr>
          <w:trHeight w:val="30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1</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Residencias estudiantiles</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6.097.895</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500.000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6.597.895</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6.097.895</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500.000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6.597.895</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200"/>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2</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Comedor estudiantil</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3.190.224</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3.190.224</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2.406.198</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47.000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2.453.198</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737.026</w:t>
            </w:r>
          </w:p>
        </w:tc>
      </w:tr>
      <w:tr w:rsidR="004F3848" w:rsidRPr="004F3848" w:rsidTr="00CC32A8">
        <w:trPr>
          <w:trHeight w:val="46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3</w:t>
            </w:r>
          </w:p>
        </w:tc>
        <w:tc>
          <w:tcPr>
            <w:tcW w:w="773"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Núcleo de Tecnologías de Información y Comunicación</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7.102.870</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1.228.000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8.330.870</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7.102.870</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1.228.000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8.330.870</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30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4</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Núcleo Integrado de Seguridad Laboral</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1.852.803</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2.152.803</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1.852.803</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2.152.803</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249"/>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5</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Sistema de Gestión e Información</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927.612</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927.612</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tcPr>
          <w:p w:rsidR="004F3848" w:rsidRPr="004F3848" w:rsidRDefault="004F3848" w:rsidP="004F3848">
            <w:pPr>
              <w:jc w:val="right"/>
              <w:rPr>
                <w:rFonts w:ascii="Calibri" w:hAnsi="Calibri"/>
                <w:sz w:val="16"/>
                <w:szCs w:val="16"/>
                <w:lang w:val="es-CR" w:eastAsia="es-CR"/>
              </w:rPr>
            </w:pPr>
          </w:p>
        </w:tc>
        <w:tc>
          <w:tcPr>
            <w:tcW w:w="379"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927.612</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927.612</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22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6</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Formación académica de profesores</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4.222.501</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4.222.501</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tcPr>
          <w:p w:rsidR="004F3848" w:rsidRPr="004F3848" w:rsidRDefault="004F3848" w:rsidP="004F3848">
            <w:pPr>
              <w:jc w:val="right"/>
              <w:rPr>
                <w:rFonts w:ascii="Calibri" w:hAnsi="Calibri"/>
                <w:sz w:val="16"/>
                <w:szCs w:val="16"/>
                <w:lang w:val="es-CR" w:eastAsia="es-CR"/>
              </w:rPr>
            </w:pP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4.222.501</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4.222.501</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30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7</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Ampliación de la Biblioteca</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3.950.326</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362.500,00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4.312.826</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3.925.109</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362.500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4.287.609</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25.217</w:t>
            </w:r>
          </w:p>
        </w:tc>
      </w:tr>
      <w:tr w:rsidR="004F3848" w:rsidRPr="004F3848" w:rsidTr="00CC32A8">
        <w:trPr>
          <w:trHeight w:val="451"/>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8</w:t>
            </w:r>
          </w:p>
        </w:tc>
        <w:tc>
          <w:tcPr>
            <w:tcW w:w="773"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 xml:space="preserve">Fortalecimiento de la Sede Regional San Carlos </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6.590.073</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100.000,00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6.690.073</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6.624.099</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6.724.099</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FF0000"/>
                <w:sz w:val="16"/>
                <w:szCs w:val="16"/>
                <w:lang w:val="es-CR" w:eastAsia="es-CR"/>
              </w:rPr>
              <w:t>-34.026</w:t>
            </w:r>
          </w:p>
        </w:tc>
      </w:tr>
      <w:tr w:rsidR="004F3848" w:rsidRPr="004F3848" w:rsidTr="00CC32A8">
        <w:trPr>
          <w:trHeight w:val="418"/>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 </w:t>
            </w:r>
          </w:p>
        </w:tc>
        <w:tc>
          <w:tcPr>
            <w:tcW w:w="773"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Fortalecimiento de la Sede Regional San Carlos (docencia)</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2.942.969</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100.000,00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3.042.969</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2.942.969</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100.000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3.042.969</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513"/>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 </w:t>
            </w:r>
          </w:p>
        </w:tc>
        <w:tc>
          <w:tcPr>
            <w:tcW w:w="773"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Fortalecimiento de la Sede Regional San Carlos (Investigación)</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3.647.104</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3.647.104</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3.681.130</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3.681.130</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FF0000"/>
                <w:sz w:val="16"/>
                <w:szCs w:val="16"/>
                <w:lang w:val="es-CR" w:eastAsia="es-CR"/>
              </w:rPr>
              <w:t>-34.026</w:t>
            </w:r>
          </w:p>
        </w:tc>
      </w:tr>
      <w:tr w:rsidR="004F3848" w:rsidRPr="004F3848" w:rsidTr="00CC32A8">
        <w:trPr>
          <w:trHeight w:val="30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9</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Núcleo Integrado Química- Ambiental</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8.448.040</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8.448.040</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8.574.757</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500.000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9.074.757</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FF0000"/>
                <w:sz w:val="16"/>
                <w:szCs w:val="16"/>
                <w:lang w:val="es-CR" w:eastAsia="es-CR"/>
              </w:rPr>
              <w:t>-626.717</w:t>
            </w:r>
          </w:p>
        </w:tc>
      </w:tr>
      <w:tr w:rsidR="004F3848" w:rsidRPr="004F3848" w:rsidTr="00CC32A8">
        <w:trPr>
          <w:trHeight w:val="304"/>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10</w:t>
            </w:r>
          </w:p>
        </w:tc>
        <w:tc>
          <w:tcPr>
            <w:tcW w:w="77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 xml:space="preserve">Núcleo Integrado de Diseño </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2.475.480</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90.000,00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2.565.480</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2.475.480</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90.000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2.565.478</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000000"/>
                <w:sz w:val="16"/>
                <w:szCs w:val="16"/>
                <w:lang w:val="es-CR" w:eastAsia="es-CR"/>
              </w:rPr>
              <w:t>0</w:t>
            </w:r>
          </w:p>
        </w:tc>
      </w:tr>
      <w:tr w:rsidR="004F3848" w:rsidRPr="004F3848" w:rsidTr="00CC32A8">
        <w:trPr>
          <w:trHeight w:val="415"/>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11</w:t>
            </w:r>
          </w:p>
        </w:tc>
        <w:tc>
          <w:tcPr>
            <w:tcW w:w="773"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6"/>
                <w:szCs w:val="16"/>
                <w:lang w:val="es-CR" w:eastAsia="es-CR"/>
              </w:rPr>
            </w:pPr>
            <w:r w:rsidRPr="004F3848">
              <w:rPr>
                <w:rFonts w:ascii="Calibri" w:hAnsi="Calibri"/>
                <w:color w:val="000000"/>
                <w:sz w:val="16"/>
                <w:szCs w:val="16"/>
                <w:lang w:val="es-CR" w:eastAsia="es-CR"/>
              </w:rPr>
              <w:t>Fortalecimiento del Centro Académico de San José</w:t>
            </w:r>
          </w:p>
        </w:tc>
        <w:tc>
          <w:tcPr>
            <w:tcW w:w="4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2.361.677</w:t>
            </w:r>
          </w:p>
        </w:tc>
        <w:tc>
          <w:tcPr>
            <w:tcW w:w="338"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200.000</w:t>
            </w:r>
          </w:p>
        </w:tc>
        <w:tc>
          <w:tcPr>
            <w:tcW w:w="26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2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7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2.561.677</w:t>
            </w:r>
          </w:p>
        </w:tc>
        <w:tc>
          <w:tcPr>
            <w:tcW w:w="380" w:type="pct"/>
            <w:tcBorders>
              <w:top w:val="nil"/>
              <w:left w:val="nil"/>
              <w:bottom w:val="single" w:sz="4" w:space="0" w:color="auto"/>
              <w:right w:val="single" w:sz="4" w:space="0" w:color="auto"/>
            </w:tcBorders>
            <w:shd w:val="clear" w:color="000000" w:fill="CCFFCC"/>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2.463.177</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sz w:val="16"/>
                <w:szCs w:val="16"/>
                <w:lang w:val="es-CR" w:eastAsia="es-CR"/>
              </w:rPr>
            </w:pPr>
            <w:r w:rsidRPr="004F3848">
              <w:rPr>
                <w:rFonts w:ascii="Calibri" w:hAnsi="Calibri"/>
                <w:sz w:val="16"/>
                <w:szCs w:val="16"/>
                <w:lang w:val="es-CR" w:eastAsia="es-CR"/>
              </w:rPr>
              <w:t>200.000</w:t>
            </w:r>
          </w:p>
        </w:tc>
        <w:tc>
          <w:tcPr>
            <w:tcW w:w="379"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380"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rPr>
                <w:rFonts w:ascii="Calibri" w:hAnsi="Calibri"/>
                <w:sz w:val="16"/>
                <w:szCs w:val="16"/>
                <w:lang w:val="es-CR" w:eastAsia="es-CR"/>
              </w:rPr>
            </w:pPr>
            <w:r w:rsidRPr="004F3848">
              <w:rPr>
                <w:rFonts w:ascii="Calibri" w:hAnsi="Calibri"/>
                <w:sz w:val="16"/>
                <w:szCs w:val="16"/>
                <w:lang w:val="es-CR" w:eastAsia="es-CR"/>
              </w:rPr>
              <w:t> </w:t>
            </w:r>
          </w:p>
        </w:tc>
        <w:tc>
          <w:tcPr>
            <w:tcW w:w="444" w:type="pct"/>
            <w:tcBorders>
              <w:top w:val="nil"/>
              <w:left w:val="nil"/>
              <w:bottom w:val="single" w:sz="4" w:space="0" w:color="auto"/>
              <w:right w:val="single" w:sz="4" w:space="0" w:color="auto"/>
            </w:tcBorders>
            <w:shd w:val="clear" w:color="000000" w:fill="D9E1F2"/>
            <w:noWrap/>
            <w:vAlign w:val="bottom"/>
            <w:hideMark/>
          </w:tcPr>
          <w:p w:rsidR="004F3848" w:rsidRPr="004F3848" w:rsidRDefault="004F3848" w:rsidP="004F3848">
            <w:pPr>
              <w:jc w:val="right"/>
              <w:rPr>
                <w:rFonts w:ascii="Calibri" w:hAnsi="Calibri"/>
                <w:color w:val="000000"/>
                <w:sz w:val="16"/>
                <w:szCs w:val="16"/>
                <w:lang w:val="es-CR" w:eastAsia="es-CR"/>
              </w:rPr>
            </w:pPr>
            <w:r w:rsidRPr="004F3848">
              <w:rPr>
                <w:rFonts w:ascii="Calibri" w:hAnsi="Calibri"/>
                <w:color w:val="000000"/>
                <w:sz w:val="16"/>
                <w:szCs w:val="16"/>
                <w:lang w:val="es-CR" w:eastAsia="es-CR"/>
              </w:rPr>
              <w:t>2.663.177</w:t>
            </w:r>
          </w:p>
        </w:tc>
        <w:tc>
          <w:tcPr>
            <w:tcW w:w="441"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6"/>
                <w:szCs w:val="16"/>
                <w:lang w:val="es-CR" w:eastAsia="es-CR"/>
              </w:rPr>
            </w:pPr>
            <w:r w:rsidRPr="004F3848">
              <w:rPr>
                <w:rFonts w:ascii="Calibri" w:hAnsi="Calibri"/>
                <w:b/>
                <w:bCs/>
                <w:color w:val="FF0000"/>
                <w:sz w:val="16"/>
                <w:szCs w:val="16"/>
                <w:lang w:val="es-CR" w:eastAsia="es-CR"/>
              </w:rPr>
              <w:t>-101.500</w:t>
            </w:r>
          </w:p>
        </w:tc>
      </w:tr>
      <w:tr w:rsidR="004F3848" w:rsidRPr="004F3848" w:rsidTr="004F3848">
        <w:trPr>
          <w:trHeight w:val="304"/>
        </w:trPr>
        <w:tc>
          <w:tcPr>
            <w:tcW w:w="890" w:type="pct"/>
            <w:gridSpan w:val="2"/>
            <w:tcBorders>
              <w:top w:val="single" w:sz="4" w:space="0" w:color="auto"/>
              <w:left w:val="single" w:sz="4" w:space="0" w:color="auto"/>
              <w:bottom w:val="single" w:sz="4" w:space="0" w:color="auto"/>
              <w:right w:val="single" w:sz="4" w:space="0" w:color="auto"/>
            </w:tcBorders>
            <w:shd w:val="clear" w:color="auto" w:fill="0F243E"/>
            <w:noWrap/>
            <w:vAlign w:val="bottom"/>
            <w:hideMark/>
          </w:tcPr>
          <w:p w:rsidR="004F3848" w:rsidRPr="004F3848" w:rsidRDefault="004F3848" w:rsidP="004F3848">
            <w:pPr>
              <w:jc w:val="center"/>
              <w:rPr>
                <w:rFonts w:ascii="Calibri" w:hAnsi="Calibri"/>
                <w:b/>
                <w:bCs/>
                <w:sz w:val="16"/>
                <w:szCs w:val="16"/>
                <w:lang w:val="es-CR" w:eastAsia="es-CR"/>
              </w:rPr>
            </w:pPr>
            <w:r w:rsidRPr="004F3848">
              <w:rPr>
                <w:rFonts w:ascii="Calibri" w:hAnsi="Calibri"/>
                <w:b/>
                <w:bCs/>
                <w:sz w:val="16"/>
                <w:szCs w:val="16"/>
                <w:lang w:val="es-CR" w:eastAsia="es-CR"/>
              </w:rPr>
              <w:t>TOTALES</w:t>
            </w:r>
          </w:p>
        </w:tc>
        <w:tc>
          <w:tcPr>
            <w:tcW w:w="463" w:type="pct"/>
            <w:tcBorders>
              <w:top w:val="nil"/>
              <w:left w:val="nil"/>
              <w:bottom w:val="single" w:sz="4" w:space="0" w:color="auto"/>
              <w:right w:val="single" w:sz="4" w:space="0" w:color="auto"/>
            </w:tcBorders>
            <w:shd w:val="clear" w:color="000000" w:fill="FFFF00"/>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42.069.388</w:t>
            </w:r>
          </w:p>
        </w:tc>
        <w:tc>
          <w:tcPr>
            <w:tcW w:w="338" w:type="pct"/>
            <w:tcBorders>
              <w:top w:val="nil"/>
              <w:left w:val="nil"/>
              <w:bottom w:val="single" w:sz="4" w:space="0" w:color="auto"/>
              <w:right w:val="single" w:sz="4" w:space="0" w:color="auto"/>
            </w:tcBorders>
            <w:shd w:val="clear" w:color="000000" w:fill="FFFF00"/>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2.780.500</w:t>
            </w:r>
          </w:p>
        </w:tc>
        <w:tc>
          <w:tcPr>
            <w:tcW w:w="263"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927.612</w:t>
            </w:r>
          </w:p>
        </w:tc>
        <w:tc>
          <w:tcPr>
            <w:tcW w:w="272"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4.222.501</w:t>
            </w:r>
          </w:p>
        </w:tc>
        <w:tc>
          <w:tcPr>
            <w:tcW w:w="370"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50.000.000</w:t>
            </w:r>
          </w:p>
        </w:tc>
        <w:tc>
          <w:tcPr>
            <w:tcW w:w="380" w:type="pct"/>
            <w:tcBorders>
              <w:top w:val="nil"/>
              <w:left w:val="nil"/>
              <w:bottom w:val="single" w:sz="4" w:space="0" w:color="auto"/>
              <w:right w:val="single" w:sz="4" w:space="0" w:color="auto"/>
            </w:tcBorders>
            <w:shd w:val="clear" w:color="000000" w:fill="FFFF00"/>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41.522.388</w:t>
            </w:r>
          </w:p>
        </w:tc>
        <w:tc>
          <w:tcPr>
            <w:tcW w:w="380" w:type="pct"/>
            <w:tcBorders>
              <w:top w:val="nil"/>
              <w:left w:val="nil"/>
              <w:bottom w:val="single" w:sz="4" w:space="0" w:color="auto"/>
              <w:right w:val="single" w:sz="4" w:space="0" w:color="auto"/>
            </w:tcBorders>
            <w:shd w:val="clear" w:color="000000" w:fill="FFFF00"/>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3.327.500</w:t>
            </w:r>
          </w:p>
        </w:tc>
        <w:tc>
          <w:tcPr>
            <w:tcW w:w="379"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927.612</w:t>
            </w:r>
          </w:p>
        </w:tc>
        <w:tc>
          <w:tcPr>
            <w:tcW w:w="380"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4.222.501</w:t>
            </w:r>
          </w:p>
        </w:tc>
        <w:tc>
          <w:tcPr>
            <w:tcW w:w="444"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sz w:val="16"/>
                <w:szCs w:val="16"/>
                <w:lang w:val="es-CR" w:eastAsia="es-CR"/>
              </w:rPr>
              <w:t>50.000.000</w:t>
            </w:r>
          </w:p>
        </w:tc>
        <w:tc>
          <w:tcPr>
            <w:tcW w:w="441" w:type="pct"/>
            <w:tcBorders>
              <w:top w:val="nil"/>
              <w:left w:val="nil"/>
              <w:bottom w:val="single" w:sz="4" w:space="0" w:color="auto"/>
              <w:right w:val="single" w:sz="4" w:space="0" w:color="auto"/>
            </w:tcBorders>
            <w:shd w:val="clear" w:color="auto" w:fill="0F243E"/>
            <w:noWrap/>
            <w:vAlign w:val="bottom"/>
            <w:hideMark/>
          </w:tcPr>
          <w:p w:rsidR="004F3848" w:rsidRPr="004F3848" w:rsidRDefault="004F3848" w:rsidP="004F3848">
            <w:pPr>
              <w:jc w:val="right"/>
              <w:rPr>
                <w:rFonts w:ascii="Calibri" w:hAnsi="Calibri"/>
                <w:b/>
                <w:bCs/>
                <w:sz w:val="16"/>
                <w:szCs w:val="16"/>
                <w:lang w:val="es-CR" w:eastAsia="es-CR"/>
              </w:rPr>
            </w:pPr>
            <w:r w:rsidRPr="004F3848">
              <w:rPr>
                <w:rFonts w:ascii="Calibri" w:hAnsi="Calibri"/>
                <w:b/>
                <w:bCs/>
                <w:color w:val="FF0000"/>
                <w:sz w:val="16"/>
                <w:szCs w:val="16"/>
                <w:lang w:val="es-CR" w:eastAsia="es-CR"/>
              </w:rPr>
              <w:t>0,00</w:t>
            </w:r>
          </w:p>
        </w:tc>
      </w:tr>
    </w:tbl>
    <w:p w:rsidR="004F3848" w:rsidRPr="004F3848" w:rsidRDefault="004F3848" w:rsidP="004F3848">
      <w:pPr>
        <w:ind w:left="284"/>
        <w:jc w:val="both"/>
        <w:rPr>
          <w:rFonts w:ascii="Arial" w:hAnsi="Arial" w:cs="Arial"/>
          <w:sz w:val="20"/>
          <w:szCs w:val="20"/>
          <w:lang w:val="es-CR"/>
        </w:rPr>
      </w:pPr>
      <w:r w:rsidRPr="004F3848">
        <w:rPr>
          <w:rFonts w:ascii="Arial" w:hAnsi="Arial" w:cs="Arial"/>
          <w:sz w:val="20"/>
          <w:szCs w:val="20"/>
          <w:lang w:val="es-CR"/>
        </w:rPr>
        <w:t>1: En verde se resalta lo comprometido, en celeste lo estimado y en los totales en amarillo las diferencias</w:t>
      </w:r>
    </w:p>
    <w:p w:rsidR="004F3848" w:rsidRPr="004F3848" w:rsidRDefault="004F3848" w:rsidP="004F3848">
      <w:pPr>
        <w:jc w:val="both"/>
        <w:rPr>
          <w:rFonts w:ascii="Arial" w:hAnsi="Arial" w:cs="Arial"/>
          <w:sz w:val="20"/>
          <w:szCs w:val="20"/>
          <w:lang w:val="es-CR"/>
        </w:rPr>
      </w:pPr>
    </w:p>
    <w:p w:rsidR="004F3848" w:rsidRPr="004F3848" w:rsidRDefault="004F3848" w:rsidP="004F3848">
      <w:pPr>
        <w:numPr>
          <w:ilvl w:val="0"/>
          <w:numId w:val="25"/>
        </w:numPr>
        <w:ind w:left="426" w:hanging="426"/>
        <w:jc w:val="both"/>
        <w:rPr>
          <w:rFonts w:ascii="Arial" w:hAnsi="Arial" w:cs="Arial"/>
          <w:b/>
          <w:lang w:val="es-CR"/>
        </w:rPr>
      </w:pPr>
      <w:r w:rsidRPr="004F3848">
        <w:rPr>
          <w:rFonts w:ascii="Arial" w:hAnsi="Arial" w:cs="Arial"/>
          <w:lang w:val="es-CR"/>
        </w:rPr>
        <w:t xml:space="preserve">En la sesión No. 44-2016 del Consejo de Rectoría, realizada el 05 de diciembre de 2016,   se conoció y avaló la propuesta de redistribución de los fondos del Proyecto de Mejoramiento Institucional.   </w:t>
      </w:r>
    </w:p>
    <w:p w:rsidR="004F3848" w:rsidRPr="004F3848" w:rsidRDefault="004F3848" w:rsidP="004F3848">
      <w:pPr>
        <w:jc w:val="both"/>
        <w:rPr>
          <w:rFonts w:ascii="Arial" w:hAnsi="Arial" w:cs="Arial"/>
          <w:b/>
          <w:lang w:val="es-CR"/>
        </w:rPr>
      </w:pPr>
    </w:p>
    <w:p w:rsidR="004F3848" w:rsidRPr="004F3848" w:rsidRDefault="004F3848" w:rsidP="004F3848">
      <w:pPr>
        <w:numPr>
          <w:ilvl w:val="0"/>
          <w:numId w:val="25"/>
        </w:numPr>
        <w:ind w:left="426" w:hanging="426"/>
        <w:jc w:val="both"/>
        <w:rPr>
          <w:rFonts w:ascii="Arial" w:hAnsi="Arial" w:cs="Arial"/>
          <w:lang w:val="es-CR"/>
        </w:rPr>
      </w:pPr>
      <w:r w:rsidRPr="004F3848">
        <w:rPr>
          <w:rFonts w:ascii="Arial" w:hAnsi="Arial" w:cs="Arial"/>
          <w:lang w:val="es-CR"/>
        </w:rPr>
        <w:t xml:space="preserve"> La Comisión de Planificación y Administración en la reunión No. 706-2016, realizada el 12 de diciembre de 2016, analizó la propuesta de </w:t>
      </w:r>
      <w:r w:rsidRPr="004F3848">
        <w:rPr>
          <w:rFonts w:ascii="Arial" w:hAnsi="Arial" w:cs="Arial"/>
          <w:lang w:val="es-ES_tradnl"/>
        </w:rPr>
        <w:t>re</w:t>
      </w:r>
      <w:r w:rsidRPr="004F3848">
        <w:rPr>
          <w:rFonts w:ascii="Arial" w:hAnsi="Arial" w:cs="Arial"/>
          <w:lang w:val="es-CR"/>
        </w:rPr>
        <w:t>distribución de fondos del financiamiento del Proyecto de Mejoramiento Institucional, adjunta al oficio ViDa-UCPI-200-2016 y dispuso elevar la siguiente propuesta al Consejo Institucional.</w:t>
      </w:r>
    </w:p>
    <w:p w:rsidR="004F3848" w:rsidRPr="004F3848" w:rsidRDefault="004F3848" w:rsidP="004F3848">
      <w:pPr>
        <w:ind w:left="708"/>
        <w:rPr>
          <w:rFonts w:ascii="Arial" w:hAnsi="Arial" w:cs="Arial"/>
          <w:lang w:val="es-CR"/>
        </w:rPr>
      </w:pPr>
    </w:p>
    <w:p w:rsidR="004F3848" w:rsidRPr="004F3848" w:rsidRDefault="004F3848" w:rsidP="004F3848">
      <w:pPr>
        <w:jc w:val="both"/>
        <w:rPr>
          <w:rFonts w:ascii="Arial" w:hAnsi="Arial" w:cs="Arial"/>
          <w:lang w:val="es-CR"/>
        </w:rPr>
      </w:pPr>
      <w:r w:rsidRPr="004F3848">
        <w:rPr>
          <w:rFonts w:ascii="Arial" w:hAnsi="Arial" w:cs="Arial"/>
          <w:b/>
          <w:lang w:val="es-CR"/>
        </w:rPr>
        <w:t xml:space="preserve">SE </w:t>
      </w:r>
      <w:r>
        <w:rPr>
          <w:rFonts w:ascii="Arial" w:hAnsi="Arial" w:cs="Arial"/>
          <w:b/>
          <w:lang w:val="es-CR"/>
        </w:rPr>
        <w:t>ACUERDA</w:t>
      </w:r>
      <w:r w:rsidRPr="004F3848">
        <w:rPr>
          <w:rFonts w:ascii="Arial" w:hAnsi="Arial" w:cs="Arial"/>
          <w:b/>
          <w:lang w:val="es-CR"/>
        </w:rPr>
        <w:t>:</w:t>
      </w:r>
    </w:p>
    <w:p w:rsidR="004F3848" w:rsidRPr="004F3848" w:rsidRDefault="004F3848" w:rsidP="004F3848">
      <w:pPr>
        <w:ind w:left="284"/>
        <w:jc w:val="both"/>
        <w:rPr>
          <w:rFonts w:ascii="Arial" w:hAnsi="Arial" w:cs="Arial"/>
          <w:sz w:val="20"/>
          <w:szCs w:val="20"/>
          <w:lang w:val="es-CR"/>
        </w:rPr>
      </w:pPr>
    </w:p>
    <w:p w:rsidR="004F3848" w:rsidRPr="004F3848" w:rsidRDefault="004F3848" w:rsidP="004F3848">
      <w:pPr>
        <w:numPr>
          <w:ilvl w:val="0"/>
          <w:numId w:val="24"/>
        </w:numPr>
        <w:ind w:left="322"/>
        <w:jc w:val="both"/>
        <w:rPr>
          <w:rFonts w:ascii="Arial" w:hAnsi="Arial" w:cs="Arial"/>
          <w:lang w:val="es-CR"/>
        </w:rPr>
      </w:pPr>
      <w:r w:rsidRPr="004F3848">
        <w:rPr>
          <w:rFonts w:ascii="Arial" w:hAnsi="Arial" w:cs="Arial"/>
          <w:lang w:val="es-ES_tradnl"/>
        </w:rPr>
        <w:t xml:space="preserve">Modificar el  inciso a) del acuerdo de la Sesión Ordinaria No. 2993, Artículo 9, del 12 de octubre de 2016, </w:t>
      </w:r>
      <w:r w:rsidRPr="004F3848">
        <w:rPr>
          <w:rFonts w:ascii="Arial" w:hAnsi="Arial" w:cs="Arial"/>
          <w:i/>
        </w:rPr>
        <w:t xml:space="preserve">“Actualización del Proyecto de Mejoramiento Institucional y </w:t>
      </w:r>
      <w:r w:rsidRPr="004F3848">
        <w:rPr>
          <w:rFonts w:ascii="Arial" w:hAnsi="Arial" w:cs="Arial"/>
          <w:i/>
        </w:rPr>
        <w:lastRenderedPageBreak/>
        <w:t xml:space="preserve">definición de los límites para la modificación del mismo”, </w:t>
      </w:r>
      <w:r w:rsidRPr="004F3848">
        <w:rPr>
          <w:rFonts w:ascii="Arial" w:hAnsi="Arial" w:cs="Arial"/>
          <w:lang w:val="es-ES_tradnl"/>
        </w:rPr>
        <w:t>con el fin de aprobar la siguiente propuesta de re</w:t>
      </w:r>
      <w:r w:rsidRPr="004F3848">
        <w:rPr>
          <w:rFonts w:ascii="Arial" w:hAnsi="Arial" w:cs="Arial"/>
          <w:lang w:val="es-CR"/>
        </w:rPr>
        <w:t>distribución de fondos de financiamiento del Proyecto de Mejoramiento Institucional:</w:t>
      </w:r>
    </w:p>
    <w:p w:rsidR="004F3848" w:rsidRPr="004F3848" w:rsidRDefault="004F3848" w:rsidP="004F3848">
      <w:pPr>
        <w:ind w:left="322"/>
        <w:jc w:val="both"/>
        <w:rPr>
          <w:rFonts w:ascii="Arial" w:hAnsi="Arial" w:cs="Arial"/>
          <w:lang w:val="es-CR"/>
        </w:rPr>
      </w:pPr>
    </w:p>
    <w:tbl>
      <w:tblPr>
        <w:tblW w:w="5227" w:type="pct"/>
        <w:tblLayout w:type="fixed"/>
        <w:tblCellMar>
          <w:left w:w="70" w:type="dxa"/>
          <w:right w:w="70" w:type="dxa"/>
        </w:tblCellMar>
        <w:tblLook w:val="04A0" w:firstRow="1" w:lastRow="0" w:firstColumn="1" w:lastColumn="0" w:noHBand="0" w:noVBand="1"/>
      </w:tblPr>
      <w:tblGrid>
        <w:gridCol w:w="262"/>
        <w:gridCol w:w="2171"/>
        <w:gridCol w:w="1218"/>
        <w:gridCol w:w="1218"/>
        <w:gridCol w:w="947"/>
        <w:gridCol w:w="1083"/>
        <w:gridCol w:w="1354"/>
        <w:gridCol w:w="1218"/>
      </w:tblGrid>
      <w:tr w:rsidR="004F3848" w:rsidRPr="004F3848" w:rsidTr="00CC32A8">
        <w:trPr>
          <w:trHeight w:val="322"/>
          <w:tblHeader/>
        </w:trPr>
        <w:tc>
          <w:tcPr>
            <w:tcW w:w="138" w:type="pct"/>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4F3848" w:rsidRPr="004F3848" w:rsidRDefault="004F3848" w:rsidP="004F3848">
            <w:pPr>
              <w:jc w:val="center"/>
              <w:rPr>
                <w:rFonts w:ascii="Arial" w:hAnsi="Arial" w:cs="Arial"/>
                <w:b/>
                <w:bCs/>
                <w:color w:val="FFFFFF"/>
                <w:sz w:val="18"/>
                <w:szCs w:val="22"/>
                <w:lang w:val="es-CR" w:eastAsia="es-CR"/>
              </w:rPr>
            </w:pPr>
            <w:r w:rsidRPr="004F3848">
              <w:rPr>
                <w:rFonts w:ascii="Arial" w:hAnsi="Arial" w:cs="Arial"/>
                <w:b/>
                <w:bCs/>
                <w:color w:val="FFFFFF"/>
                <w:sz w:val="18"/>
                <w:szCs w:val="22"/>
                <w:lang w:val="es-CR" w:eastAsia="es-CR"/>
              </w:rPr>
              <w:t>#</w:t>
            </w:r>
          </w:p>
        </w:tc>
        <w:tc>
          <w:tcPr>
            <w:tcW w:w="1146" w:type="pct"/>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4F3848" w:rsidRPr="004F3848" w:rsidRDefault="004F3848" w:rsidP="004F3848">
            <w:pPr>
              <w:jc w:val="center"/>
              <w:rPr>
                <w:rFonts w:ascii="Arial" w:hAnsi="Arial" w:cs="Arial"/>
                <w:b/>
                <w:bCs/>
                <w:color w:val="FFFFFF"/>
                <w:sz w:val="18"/>
                <w:szCs w:val="22"/>
                <w:lang w:val="es-CR" w:eastAsia="es-CR"/>
              </w:rPr>
            </w:pPr>
            <w:r w:rsidRPr="004F3848">
              <w:rPr>
                <w:rFonts w:ascii="Arial" w:hAnsi="Arial" w:cs="Arial"/>
                <w:b/>
                <w:bCs/>
                <w:color w:val="FFFFFF"/>
                <w:sz w:val="18"/>
                <w:szCs w:val="22"/>
                <w:lang w:val="es-CR" w:eastAsia="es-CR"/>
              </w:rPr>
              <w:t>Nombre de la iniciativa</w:t>
            </w:r>
          </w:p>
        </w:tc>
        <w:tc>
          <w:tcPr>
            <w:tcW w:w="3073" w:type="pct"/>
            <w:gridSpan w:val="5"/>
            <w:vMerge w:val="restart"/>
            <w:tcBorders>
              <w:top w:val="single" w:sz="4" w:space="0" w:color="auto"/>
              <w:left w:val="single" w:sz="4" w:space="0" w:color="auto"/>
              <w:bottom w:val="single" w:sz="4" w:space="0" w:color="000000"/>
              <w:right w:val="single" w:sz="4" w:space="0" w:color="000000"/>
            </w:tcBorders>
            <w:shd w:val="clear" w:color="auto" w:fill="0070C0"/>
            <w:vAlign w:val="bottom"/>
            <w:hideMark/>
          </w:tcPr>
          <w:p w:rsidR="004F3848" w:rsidRPr="004F3848" w:rsidRDefault="004F3848" w:rsidP="004F3848">
            <w:pPr>
              <w:tabs>
                <w:tab w:val="left" w:pos="4712"/>
              </w:tabs>
              <w:jc w:val="center"/>
              <w:rPr>
                <w:rFonts w:ascii="Calibri" w:hAnsi="Calibri"/>
                <w:b/>
                <w:bCs/>
                <w:color w:val="000000"/>
                <w:sz w:val="18"/>
                <w:szCs w:val="22"/>
                <w:lang w:val="es-CR" w:eastAsia="es-CR"/>
              </w:rPr>
            </w:pPr>
            <w:r w:rsidRPr="004F3848">
              <w:rPr>
                <w:rFonts w:ascii="Calibri" w:hAnsi="Calibri"/>
                <w:b/>
                <w:bCs/>
                <w:color w:val="000000"/>
                <w:sz w:val="18"/>
                <w:szCs w:val="22"/>
                <w:lang w:val="es-CR" w:eastAsia="es-CR"/>
              </w:rPr>
              <w:t>PMI PROPUESTO FINANCIAMIENTO EXTERNO</w:t>
            </w:r>
            <w:r w:rsidRPr="004F3848">
              <w:rPr>
                <w:rFonts w:ascii="Calibri" w:hAnsi="Calibri"/>
                <w:b/>
                <w:bCs/>
                <w:color w:val="000000"/>
                <w:sz w:val="18"/>
                <w:szCs w:val="22"/>
                <w:lang w:val="es-CR" w:eastAsia="es-CR"/>
              </w:rPr>
              <w:br/>
              <w:t>NUEVO MONTOS (US$)</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4F3848" w:rsidRPr="000C2FC6" w:rsidRDefault="004F3848" w:rsidP="004F3848">
            <w:pPr>
              <w:jc w:val="center"/>
              <w:rPr>
                <w:rFonts w:ascii="Calibri" w:hAnsi="Calibri"/>
                <w:b/>
                <w:bCs/>
                <w:color w:val="FFFFFF"/>
                <w:sz w:val="16"/>
                <w:szCs w:val="16"/>
                <w:lang w:val="es-CR" w:eastAsia="es-CR"/>
              </w:rPr>
            </w:pPr>
            <w:r w:rsidRPr="000C2FC6">
              <w:rPr>
                <w:rFonts w:ascii="Calibri" w:hAnsi="Calibri"/>
                <w:b/>
                <w:bCs/>
                <w:color w:val="FFFFFF"/>
                <w:sz w:val="16"/>
                <w:szCs w:val="16"/>
                <w:lang w:val="es-CR" w:eastAsia="es-CR"/>
              </w:rPr>
              <w:t>Rema-</w:t>
            </w:r>
            <w:proofErr w:type="spellStart"/>
            <w:r w:rsidRPr="000C2FC6">
              <w:rPr>
                <w:rFonts w:ascii="Calibri" w:hAnsi="Calibri"/>
                <w:b/>
                <w:bCs/>
                <w:color w:val="FFFFFF"/>
                <w:sz w:val="16"/>
                <w:szCs w:val="16"/>
                <w:lang w:val="es-CR" w:eastAsia="es-CR"/>
              </w:rPr>
              <w:t>nente</w:t>
            </w:r>
            <w:proofErr w:type="spellEnd"/>
            <w:r w:rsidRPr="000C2FC6">
              <w:rPr>
                <w:rFonts w:ascii="Calibri" w:hAnsi="Calibri"/>
                <w:b/>
                <w:bCs/>
                <w:color w:val="FFFFFF"/>
                <w:sz w:val="16"/>
                <w:szCs w:val="16"/>
                <w:lang w:val="es-CR" w:eastAsia="es-CR"/>
              </w:rPr>
              <w:t>/faltante</w:t>
            </w:r>
          </w:p>
        </w:tc>
      </w:tr>
      <w:tr w:rsidR="004F3848" w:rsidRPr="004F3848" w:rsidTr="004F3848">
        <w:trPr>
          <w:trHeight w:val="645"/>
          <w:tblHeader/>
        </w:trPr>
        <w:tc>
          <w:tcPr>
            <w:tcW w:w="138"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8"/>
                <w:szCs w:val="22"/>
                <w:lang w:val="es-CR" w:eastAsia="es-CR"/>
              </w:rPr>
            </w:pPr>
          </w:p>
        </w:tc>
        <w:tc>
          <w:tcPr>
            <w:tcW w:w="1146"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8"/>
                <w:szCs w:val="22"/>
                <w:lang w:val="es-CR" w:eastAsia="es-CR"/>
              </w:rPr>
            </w:pPr>
          </w:p>
        </w:tc>
        <w:tc>
          <w:tcPr>
            <w:tcW w:w="3073" w:type="pct"/>
            <w:gridSpan w:val="5"/>
            <w:vMerge/>
            <w:tcBorders>
              <w:top w:val="single" w:sz="4" w:space="0" w:color="auto"/>
              <w:left w:val="single" w:sz="4" w:space="0" w:color="auto"/>
              <w:bottom w:val="single" w:sz="4" w:space="0" w:color="000000"/>
              <w:right w:val="single" w:sz="4" w:space="0" w:color="000000"/>
            </w:tcBorders>
            <w:vAlign w:val="center"/>
            <w:hideMark/>
          </w:tcPr>
          <w:p w:rsidR="004F3848" w:rsidRPr="004F3848" w:rsidRDefault="004F3848" w:rsidP="004F3848">
            <w:pPr>
              <w:rPr>
                <w:rFonts w:ascii="Calibri" w:hAnsi="Calibri"/>
                <w:b/>
                <w:bCs/>
                <w:color w:val="000000"/>
                <w:sz w:val="18"/>
                <w:szCs w:val="22"/>
                <w:lang w:val="es-CR" w:eastAsia="es-CR"/>
              </w:rPr>
            </w:pPr>
          </w:p>
        </w:tc>
        <w:tc>
          <w:tcPr>
            <w:tcW w:w="643"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Calibri" w:hAnsi="Calibri"/>
                <w:b/>
                <w:bCs/>
                <w:color w:val="FFFFFF"/>
                <w:sz w:val="18"/>
                <w:szCs w:val="22"/>
                <w:lang w:val="es-CR" w:eastAsia="es-CR"/>
              </w:rPr>
            </w:pPr>
          </w:p>
        </w:tc>
      </w:tr>
      <w:tr w:rsidR="004F3848" w:rsidRPr="004F3848" w:rsidTr="004F3848">
        <w:trPr>
          <w:trHeight w:val="679"/>
          <w:tblHeader/>
        </w:trPr>
        <w:tc>
          <w:tcPr>
            <w:tcW w:w="138"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8"/>
                <w:szCs w:val="22"/>
                <w:lang w:val="es-CR" w:eastAsia="es-CR"/>
              </w:rPr>
            </w:pPr>
          </w:p>
        </w:tc>
        <w:tc>
          <w:tcPr>
            <w:tcW w:w="1146"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Arial" w:hAnsi="Arial" w:cs="Arial"/>
                <w:b/>
                <w:bCs/>
                <w:color w:val="FFFFFF"/>
                <w:sz w:val="18"/>
                <w:szCs w:val="22"/>
                <w:lang w:val="es-CR" w:eastAsia="es-CR"/>
              </w:rPr>
            </w:pPr>
          </w:p>
        </w:tc>
        <w:tc>
          <w:tcPr>
            <w:tcW w:w="643" w:type="pct"/>
            <w:tcBorders>
              <w:top w:val="nil"/>
              <w:left w:val="nil"/>
              <w:bottom w:val="single" w:sz="4" w:space="0" w:color="auto"/>
              <w:right w:val="single" w:sz="4" w:space="0" w:color="auto"/>
            </w:tcBorders>
            <w:shd w:val="clear" w:color="auto" w:fill="auto"/>
            <w:vAlign w:val="center"/>
            <w:hideMark/>
          </w:tcPr>
          <w:p w:rsidR="004F3848" w:rsidRPr="004F3848" w:rsidRDefault="004F3848" w:rsidP="004F3848">
            <w:pPr>
              <w:jc w:val="center"/>
              <w:rPr>
                <w:rFonts w:ascii="Arial" w:hAnsi="Arial" w:cs="Arial"/>
                <w:b/>
                <w:bCs/>
                <w:color w:val="000000"/>
                <w:sz w:val="16"/>
                <w:szCs w:val="22"/>
                <w:lang w:val="es-CR" w:eastAsia="es-CR"/>
              </w:rPr>
            </w:pPr>
            <w:proofErr w:type="spellStart"/>
            <w:r w:rsidRPr="004F3848">
              <w:rPr>
                <w:rFonts w:ascii="Arial" w:hAnsi="Arial" w:cs="Arial"/>
                <w:b/>
                <w:bCs/>
                <w:color w:val="000000"/>
                <w:sz w:val="16"/>
                <w:szCs w:val="22"/>
                <w:lang w:val="es-CR" w:eastAsia="es-CR"/>
              </w:rPr>
              <w:t>Infraestructu</w:t>
            </w:r>
            <w:r w:rsidR="000C2FC6">
              <w:rPr>
                <w:rFonts w:ascii="Arial" w:hAnsi="Arial" w:cs="Arial"/>
                <w:b/>
                <w:bCs/>
                <w:color w:val="000000"/>
                <w:sz w:val="16"/>
                <w:szCs w:val="22"/>
                <w:lang w:val="es-CR" w:eastAsia="es-CR"/>
              </w:rPr>
              <w:t>-</w:t>
            </w:r>
            <w:r w:rsidRPr="004F3848">
              <w:rPr>
                <w:rFonts w:ascii="Arial" w:hAnsi="Arial" w:cs="Arial"/>
                <w:b/>
                <w:bCs/>
                <w:color w:val="000000"/>
                <w:sz w:val="16"/>
                <w:szCs w:val="22"/>
                <w:lang w:val="es-CR" w:eastAsia="es-CR"/>
              </w:rPr>
              <w:t>ra</w:t>
            </w:r>
            <w:proofErr w:type="spellEnd"/>
            <w:r w:rsidRPr="004F3848">
              <w:rPr>
                <w:rFonts w:ascii="Arial" w:hAnsi="Arial" w:cs="Arial"/>
                <w:b/>
                <w:bCs/>
                <w:color w:val="000000"/>
                <w:sz w:val="16"/>
                <w:szCs w:val="22"/>
                <w:lang w:val="es-CR" w:eastAsia="es-CR"/>
              </w:rPr>
              <w:t xml:space="preserve"> </w:t>
            </w:r>
          </w:p>
        </w:tc>
        <w:tc>
          <w:tcPr>
            <w:tcW w:w="643" w:type="pct"/>
            <w:tcBorders>
              <w:top w:val="nil"/>
              <w:left w:val="nil"/>
              <w:bottom w:val="single" w:sz="4" w:space="0" w:color="auto"/>
              <w:right w:val="single" w:sz="4" w:space="0" w:color="auto"/>
            </w:tcBorders>
            <w:shd w:val="clear" w:color="auto" w:fill="auto"/>
            <w:vAlign w:val="center"/>
            <w:hideMark/>
          </w:tcPr>
          <w:p w:rsidR="004F3848" w:rsidRPr="004F3848" w:rsidRDefault="004F3848" w:rsidP="004F3848">
            <w:pPr>
              <w:jc w:val="center"/>
              <w:rPr>
                <w:rFonts w:ascii="Arial" w:hAnsi="Arial" w:cs="Arial"/>
                <w:b/>
                <w:bCs/>
                <w:color w:val="000000"/>
                <w:sz w:val="16"/>
                <w:szCs w:val="22"/>
                <w:lang w:val="es-CR" w:eastAsia="es-CR"/>
              </w:rPr>
            </w:pPr>
            <w:r w:rsidRPr="004F3848">
              <w:rPr>
                <w:rFonts w:ascii="Arial" w:hAnsi="Arial" w:cs="Arial"/>
                <w:b/>
                <w:bCs/>
                <w:color w:val="000000"/>
                <w:sz w:val="16"/>
                <w:szCs w:val="22"/>
                <w:lang w:val="es-CR" w:eastAsia="es-CR"/>
              </w:rPr>
              <w:t>Equipamiento</w:t>
            </w:r>
          </w:p>
        </w:tc>
        <w:tc>
          <w:tcPr>
            <w:tcW w:w="500" w:type="pct"/>
            <w:tcBorders>
              <w:top w:val="nil"/>
              <w:left w:val="nil"/>
              <w:bottom w:val="single" w:sz="4" w:space="0" w:color="auto"/>
              <w:right w:val="single" w:sz="4" w:space="0" w:color="auto"/>
            </w:tcBorders>
            <w:shd w:val="clear" w:color="auto" w:fill="auto"/>
            <w:vAlign w:val="center"/>
            <w:hideMark/>
          </w:tcPr>
          <w:p w:rsidR="004F3848" w:rsidRPr="004F3848" w:rsidRDefault="004F3848" w:rsidP="004F3848">
            <w:pPr>
              <w:jc w:val="center"/>
              <w:rPr>
                <w:rFonts w:ascii="Arial" w:hAnsi="Arial" w:cs="Arial"/>
                <w:b/>
                <w:bCs/>
                <w:color w:val="000000"/>
                <w:sz w:val="16"/>
                <w:szCs w:val="22"/>
                <w:lang w:val="es-CR" w:eastAsia="es-CR"/>
              </w:rPr>
            </w:pPr>
            <w:r w:rsidRPr="004F3848">
              <w:rPr>
                <w:rFonts w:ascii="Arial" w:hAnsi="Arial" w:cs="Arial"/>
                <w:b/>
                <w:bCs/>
                <w:color w:val="000000"/>
                <w:sz w:val="16"/>
                <w:szCs w:val="22"/>
                <w:lang w:val="es-CR" w:eastAsia="es-CR"/>
              </w:rPr>
              <w:t>Sistemas</w:t>
            </w:r>
            <w:r w:rsidRPr="004F3848">
              <w:rPr>
                <w:rFonts w:ascii="Arial" w:hAnsi="Arial" w:cs="Arial"/>
                <w:b/>
                <w:bCs/>
                <w:color w:val="000000"/>
                <w:sz w:val="16"/>
                <w:szCs w:val="22"/>
                <w:vertAlign w:val="superscript"/>
                <w:lang w:val="es-CR" w:eastAsia="es-CR"/>
              </w:rPr>
              <w:t>1</w:t>
            </w:r>
          </w:p>
        </w:tc>
        <w:tc>
          <w:tcPr>
            <w:tcW w:w="572" w:type="pct"/>
            <w:tcBorders>
              <w:top w:val="nil"/>
              <w:left w:val="nil"/>
              <w:bottom w:val="single" w:sz="4" w:space="0" w:color="auto"/>
              <w:right w:val="single" w:sz="4" w:space="0" w:color="auto"/>
            </w:tcBorders>
            <w:shd w:val="clear" w:color="auto" w:fill="auto"/>
            <w:vAlign w:val="center"/>
            <w:hideMark/>
          </w:tcPr>
          <w:p w:rsidR="004F3848" w:rsidRPr="004F3848" w:rsidRDefault="004F3848" w:rsidP="004F3848">
            <w:pPr>
              <w:jc w:val="center"/>
              <w:rPr>
                <w:rFonts w:ascii="Arial" w:hAnsi="Arial" w:cs="Arial"/>
                <w:b/>
                <w:bCs/>
                <w:color w:val="000000"/>
                <w:sz w:val="16"/>
                <w:szCs w:val="22"/>
                <w:lang w:val="es-CR" w:eastAsia="es-CR"/>
              </w:rPr>
            </w:pPr>
            <w:r w:rsidRPr="004F3848">
              <w:rPr>
                <w:rFonts w:ascii="Arial" w:hAnsi="Arial" w:cs="Arial"/>
                <w:b/>
                <w:bCs/>
                <w:color w:val="000000"/>
                <w:sz w:val="16"/>
                <w:szCs w:val="22"/>
                <w:lang w:val="es-CR" w:eastAsia="es-CR"/>
              </w:rPr>
              <w:t>Becas</w:t>
            </w:r>
            <w:r w:rsidRPr="004F3848">
              <w:rPr>
                <w:rFonts w:ascii="Arial" w:hAnsi="Arial" w:cs="Arial"/>
                <w:b/>
                <w:bCs/>
                <w:color w:val="000000"/>
                <w:sz w:val="16"/>
                <w:szCs w:val="22"/>
                <w:vertAlign w:val="superscript"/>
                <w:lang w:val="es-CR" w:eastAsia="es-CR"/>
              </w:rPr>
              <w:t>1</w:t>
            </w:r>
          </w:p>
        </w:tc>
        <w:tc>
          <w:tcPr>
            <w:tcW w:w="715" w:type="pct"/>
            <w:tcBorders>
              <w:top w:val="nil"/>
              <w:left w:val="nil"/>
              <w:bottom w:val="single" w:sz="4" w:space="0" w:color="auto"/>
              <w:right w:val="single" w:sz="4" w:space="0" w:color="auto"/>
            </w:tcBorders>
            <w:shd w:val="clear" w:color="auto" w:fill="auto"/>
            <w:vAlign w:val="center"/>
            <w:hideMark/>
          </w:tcPr>
          <w:p w:rsidR="004F3848" w:rsidRPr="004F3848" w:rsidRDefault="004F3848" w:rsidP="004F3848">
            <w:pPr>
              <w:jc w:val="center"/>
              <w:rPr>
                <w:rFonts w:ascii="Arial" w:hAnsi="Arial" w:cs="Arial"/>
                <w:b/>
                <w:bCs/>
                <w:color w:val="000000"/>
                <w:sz w:val="16"/>
                <w:szCs w:val="22"/>
                <w:lang w:val="es-CR" w:eastAsia="es-CR"/>
              </w:rPr>
            </w:pPr>
            <w:r w:rsidRPr="004F3848">
              <w:rPr>
                <w:rFonts w:ascii="Arial" w:hAnsi="Arial" w:cs="Arial"/>
                <w:b/>
                <w:bCs/>
                <w:color w:val="000000"/>
                <w:sz w:val="16"/>
                <w:szCs w:val="22"/>
                <w:lang w:val="es-CR" w:eastAsia="es-CR"/>
              </w:rPr>
              <w:t xml:space="preserve">TOTAL </w:t>
            </w:r>
            <w:proofErr w:type="spellStart"/>
            <w:r w:rsidRPr="004F3848">
              <w:rPr>
                <w:rFonts w:ascii="Arial" w:hAnsi="Arial" w:cs="Arial"/>
                <w:b/>
                <w:bCs/>
                <w:color w:val="000000"/>
                <w:sz w:val="16"/>
                <w:szCs w:val="22"/>
                <w:lang w:val="es-CR" w:eastAsia="es-CR"/>
              </w:rPr>
              <w:t>comprometido+estimado</w:t>
            </w:r>
            <w:proofErr w:type="spellEnd"/>
          </w:p>
        </w:tc>
        <w:tc>
          <w:tcPr>
            <w:tcW w:w="643" w:type="pct"/>
            <w:vMerge/>
            <w:tcBorders>
              <w:top w:val="single" w:sz="4" w:space="0" w:color="auto"/>
              <w:left w:val="single" w:sz="4" w:space="0" w:color="auto"/>
              <w:bottom w:val="single" w:sz="4" w:space="0" w:color="000000"/>
              <w:right w:val="single" w:sz="4" w:space="0" w:color="auto"/>
            </w:tcBorders>
            <w:shd w:val="clear" w:color="auto" w:fill="0F243E"/>
            <w:vAlign w:val="center"/>
            <w:hideMark/>
          </w:tcPr>
          <w:p w:rsidR="004F3848" w:rsidRPr="004F3848" w:rsidRDefault="004F3848" w:rsidP="004F3848">
            <w:pPr>
              <w:rPr>
                <w:rFonts w:ascii="Calibri" w:hAnsi="Calibri"/>
                <w:b/>
                <w:bCs/>
                <w:color w:val="FFFFFF"/>
                <w:sz w:val="18"/>
                <w:szCs w:val="22"/>
                <w:lang w:val="es-CR" w:eastAsia="es-CR"/>
              </w:rPr>
            </w:pPr>
          </w:p>
        </w:tc>
        <w:bookmarkStart w:id="1" w:name="_GoBack"/>
        <w:bookmarkEnd w:id="1"/>
      </w:tr>
      <w:tr w:rsidR="004F3848" w:rsidRPr="004F3848" w:rsidTr="00CC32A8">
        <w:trPr>
          <w:trHeight w:val="30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1</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Residencias estudiantiles</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6.097.895</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500.000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6.597.895</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197"/>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2</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Comedor estudiantil</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2.406.198</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47.000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2.453.198</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737.026</w:t>
            </w:r>
          </w:p>
        </w:tc>
      </w:tr>
      <w:tr w:rsidR="004F3848" w:rsidRPr="004F3848" w:rsidTr="00CC32A8">
        <w:trPr>
          <w:trHeight w:val="457"/>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3</w:t>
            </w:r>
          </w:p>
        </w:tc>
        <w:tc>
          <w:tcPr>
            <w:tcW w:w="1146"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Núcleo de Tecnologías de Información y Comunicación</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7.102.870</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1.228.000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8.330.870</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30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4</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Núcleo Integrado de Seguridad Laboral</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1.852.803</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300.000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2.152.803</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245"/>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5</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Sistema de Gestión e Información</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643" w:type="pct"/>
            <w:tcBorders>
              <w:top w:val="nil"/>
              <w:left w:val="nil"/>
              <w:bottom w:val="single" w:sz="4" w:space="0" w:color="auto"/>
              <w:right w:val="single" w:sz="4" w:space="0" w:color="auto"/>
            </w:tcBorders>
            <w:shd w:val="clear" w:color="auto" w:fill="auto"/>
            <w:noWrap/>
            <w:vAlign w:val="bottom"/>
          </w:tcPr>
          <w:p w:rsidR="004F3848" w:rsidRPr="004F3848" w:rsidRDefault="004F3848" w:rsidP="004F3848">
            <w:pPr>
              <w:jc w:val="right"/>
              <w:rPr>
                <w:rFonts w:ascii="Calibri" w:hAnsi="Calibri"/>
                <w:sz w:val="18"/>
                <w:szCs w:val="22"/>
                <w:lang w:val="es-CR" w:eastAsia="es-CR"/>
              </w:rPr>
            </w:pP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927.612</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927.612</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221"/>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6</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Formación académica de profesores</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643" w:type="pct"/>
            <w:tcBorders>
              <w:top w:val="nil"/>
              <w:left w:val="nil"/>
              <w:bottom w:val="single" w:sz="4" w:space="0" w:color="auto"/>
              <w:right w:val="single" w:sz="4" w:space="0" w:color="auto"/>
            </w:tcBorders>
            <w:shd w:val="clear" w:color="auto" w:fill="auto"/>
            <w:noWrap/>
            <w:vAlign w:val="bottom"/>
          </w:tcPr>
          <w:p w:rsidR="004F3848" w:rsidRPr="004F3848" w:rsidRDefault="004F3848" w:rsidP="004F3848">
            <w:pPr>
              <w:jc w:val="right"/>
              <w:rPr>
                <w:rFonts w:ascii="Calibri" w:hAnsi="Calibri"/>
                <w:sz w:val="18"/>
                <w:szCs w:val="22"/>
                <w:lang w:val="es-CR" w:eastAsia="es-CR"/>
              </w:rPr>
            </w:pP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4.222.501</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4.222.501</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30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7</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Ampliación de la Biblioteca</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3.925.109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362.500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4.287.609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25.217</w:t>
            </w:r>
          </w:p>
        </w:tc>
      </w:tr>
      <w:tr w:rsidR="004F3848" w:rsidRPr="004F3848" w:rsidTr="00CC32A8">
        <w:trPr>
          <w:trHeight w:val="445"/>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8</w:t>
            </w:r>
          </w:p>
        </w:tc>
        <w:tc>
          <w:tcPr>
            <w:tcW w:w="1146"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 xml:space="preserve">Fortalecimiento de la Sede Regional San Carlos </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6.624.099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100.000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6.724.099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FF0000"/>
                <w:sz w:val="18"/>
                <w:szCs w:val="22"/>
                <w:lang w:val="es-CR" w:eastAsia="es-CR"/>
              </w:rPr>
              <w:t>-34.026</w:t>
            </w:r>
          </w:p>
        </w:tc>
      </w:tr>
      <w:tr w:rsidR="004F3848" w:rsidRPr="004F3848" w:rsidTr="00CC32A8">
        <w:trPr>
          <w:trHeight w:val="411"/>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 </w:t>
            </w:r>
          </w:p>
        </w:tc>
        <w:tc>
          <w:tcPr>
            <w:tcW w:w="1146"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Fortalecimiento de la Sede Regional San Carlos (docencia)</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2.942.969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100.000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3.042.969</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505"/>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 </w:t>
            </w:r>
          </w:p>
        </w:tc>
        <w:tc>
          <w:tcPr>
            <w:tcW w:w="1146"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Fortalecimiento de la Sede Regional San Carlos (Investigación)</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3.681.130</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3.681.130</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FF0000"/>
                <w:sz w:val="18"/>
                <w:szCs w:val="22"/>
                <w:lang w:val="es-CR" w:eastAsia="es-CR"/>
              </w:rPr>
              <w:t>-34.026</w:t>
            </w:r>
          </w:p>
        </w:tc>
      </w:tr>
      <w:tr w:rsidR="004F3848" w:rsidRPr="004F3848" w:rsidTr="00CC32A8">
        <w:trPr>
          <w:trHeight w:val="30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9</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Núcleo Integrado Química- Ambiental</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8.574.757</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500.000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9.074.757</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FF0000"/>
                <w:sz w:val="18"/>
                <w:szCs w:val="22"/>
                <w:lang w:val="es-CR" w:eastAsia="es-CR"/>
              </w:rPr>
              <w:t>-626.717</w:t>
            </w:r>
          </w:p>
        </w:tc>
      </w:tr>
      <w:tr w:rsidR="004F3848" w:rsidRPr="004F3848" w:rsidTr="00CC32A8">
        <w:trPr>
          <w:trHeight w:val="300"/>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10</w:t>
            </w:r>
          </w:p>
        </w:tc>
        <w:tc>
          <w:tcPr>
            <w:tcW w:w="1146"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 xml:space="preserve">Núcleo Integrado de Diseño </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2.475.480</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90.000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2.565.478</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000000"/>
                <w:sz w:val="18"/>
                <w:szCs w:val="22"/>
                <w:lang w:val="es-CR" w:eastAsia="es-CR"/>
              </w:rPr>
              <w:t>0</w:t>
            </w:r>
          </w:p>
        </w:tc>
      </w:tr>
      <w:tr w:rsidR="004F3848" w:rsidRPr="004F3848" w:rsidTr="00CC32A8">
        <w:trPr>
          <w:trHeight w:val="409"/>
        </w:trPr>
        <w:tc>
          <w:tcPr>
            <w:tcW w:w="138" w:type="pct"/>
            <w:tcBorders>
              <w:top w:val="nil"/>
              <w:left w:val="single" w:sz="4" w:space="0" w:color="auto"/>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11</w:t>
            </w:r>
          </w:p>
        </w:tc>
        <w:tc>
          <w:tcPr>
            <w:tcW w:w="1146" w:type="pct"/>
            <w:tcBorders>
              <w:top w:val="nil"/>
              <w:left w:val="nil"/>
              <w:bottom w:val="single" w:sz="4" w:space="0" w:color="auto"/>
              <w:right w:val="single" w:sz="4" w:space="0" w:color="auto"/>
            </w:tcBorders>
            <w:shd w:val="clear" w:color="auto" w:fill="auto"/>
            <w:vAlign w:val="bottom"/>
            <w:hideMark/>
          </w:tcPr>
          <w:p w:rsidR="004F3848" w:rsidRPr="004F3848" w:rsidRDefault="004F3848" w:rsidP="004F3848">
            <w:pPr>
              <w:rPr>
                <w:rFonts w:ascii="Calibri" w:hAnsi="Calibri"/>
                <w:color w:val="000000"/>
                <w:sz w:val="18"/>
                <w:szCs w:val="22"/>
                <w:lang w:val="es-CR" w:eastAsia="es-CR"/>
              </w:rPr>
            </w:pPr>
            <w:r w:rsidRPr="004F3848">
              <w:rPr>
                <w:rFonts w:ascii="Calibri" w:hAnsi="Calibri"/>
                <w:color w:val="000000"/>
                <w:sz w:val="18"/>
                <w:szCs w:val="22"/>
                <w:lang w:val="es-CR" w:eastAsia="es-CR"/>
              </w:rPr>
              <w:t>Fortalecimiento del Centro Académico de San José</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2.463.177</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sz w:val="18"/>
                <w:szCs w:val="22"/>
                <w:lang w:val="es-CR" w:eastAsia="es-CR"/>
              </w:rPr>
            </w:pPr>
            <w:r w:rsidRPr="004F3848">
              <w:rPr>
                <w:rFonts w:ascii="Calibri" w:hAnsi="Calibri"/>
                <w:sz w:val="18"/>
                <w:szCs w:val="22"/>
                <w:lang w:val="es-CR" w:eastAsia="es-CR"/>
              </w:rPr>
              <w:t>200.000</w:t>
            </w:r>
          </w:p>
        </w:tc>
        <w:tc>
          <w:tcPr>
            <w:tcW w:w="500"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572"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rPr>
                <w:rFonts w:ascii="Calibri" w:hAnsi="Calibri"/>
                <w:sz w:val="18"/>
                <w:szCs w:val="22"/>
                <w:lang w:val="es-CR" w:eastAsia="es-CR"/>
              </w:rPr>
            </w:pPr>
            <w:r w:rsidRPr="004F3848">
              <w:rPr>
                <w:rFonts w:ascii="Calibri" w:hAnsi="Calibri"/>
                <w:sz w:val="18"/>
                <w:szCs w:val="22"/>
                <w:lang w:val="es-CR" w:eastAsia="es-CR"/>
              </w:rPr>
              <w:t> </w:t>
            </w:r>
          </w:p>
        </w:tc>
        <w:tc>
          <w:tcPr>
            <w:tcW w:w="715"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color w:val="000000"/>
                <w:sz w:val="18"/>
                <w:szCs w:val="22"/>
                <w:lang w:val="es-CR" w:eastAsia="es-CR"/>
              </w:rPr>
            </w:pPr>
            <w:r w:rsidRPr="004F3848">
              <w:rPr>
                <w:rFonts w:ascii="Calibri" w:hAnsi="Calibri"/>
                <w:color w:val="000000"/>
                <w:sz w:val="18"/>
                <w:szCs w:val="22"/>
                <w:lang w:val="es-CR" w:eastAsia="es-CR"/>
              </w:rPr>
              <w:t>2.663.177</w:t>
            </w:r>
          </w:p>
        </w:tc>
        <w:tc>
          <w:tcPr>
            <w:tcW w:w="643" w:type="pct"/>
            <w:tcBorders>
              <w:top w:val="nil"/>
              <w:left w:val="nil"/>
              <w:bottom w:val="single" w:sz="4" w:space="0" w:color="auto"/>
              <w:right w:val="single" w:sz="4" w:space="0" w:color="auto"/>
            </w:tcBorders>
            <w:shd w:val="clear" w:color="auto" w:fill="auto"/>
            <w:noWrap/>
            <w:vAlign w:val="bottom"/>
            <w:hideMark/>
          </w:tcPr>
          <w:p w:rsidR="004F3848" w:rsidRPr="004F3848" w:rsidRDefault="004F3848" w:rsidP="004F3848">
            <w:pPr>
              <w:jc w:val="right"/>
              <w:rPr>
                <w:rFonts w:ascii="Calibri" w:hAnsi="Calibri"/>
                <w:b/>
                <w:bCs/>
                <w:color w:val="000000"/>
                <w:sz w:val="18"/>
                <w:szCs w:val="22"/>
                <w:lang w:val="es-CR" w:eastAsia="es-CR"/>
              </w:rPr>
            </w:pPr>
            <w:r w:rsidRPr="004F3848">
              <w:rPr>
                <w:rFonts w:ascii="Calibri" w:hAnsi="Calibri"/>
                <w:b/>
                <w:bCs/>
                <w:color w:val="FF0000"/>
                <w:sz w:val="18"/>
                <w:szCs w:val="22"/>
                <w:lang w:val="es-CR" w:eastAsia="es-CR"/>
              </w:rPr>
              <w:t>-101.500</w:t>
            </w:r>
          </w:p>
        </w:tc>
      </w:tr>
      <w:tr w:rsidR="004F3848" w:rsidRPr="004F3848" w:rsidTr="00CC32A8">
        <w:trPr>
          <w:trHeight w:val="300"/>
        </w:trPr>
        <w:tc>
          <w:tcPr>
            <w:tcW w:w="1284"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F3848" w:rsidRPr="004F3848" w:rsidRDefault="004F3848" w:rsidP="004F3848">
            <w:pPr>
              <w:jc w:val="center"/>
              <w:rPr>
                <w:rFonts w:ascii="Calibri" w:hAnsi="Calibri"/>
                <w:b/>
                <w:bCs/>
                <w:sz w:val="18"/>
                <w:szCs w:val="22"/>
                <w:lang w:val="es-CR" w:eastAsia="es-CR"/>
              </w:rPr>
            </w:pPr>
            <w:r w:rsidRPr="004F3848">
              <w:rPr>
                <w:rFonts w:ascii="Calibri" w:hAnsi="Calibri"/>
                <w:b/>
                <w:bCs/>
                <w:sz w:val="18"/>
                <w:szCs w:val="22"/>
                <w:lang w:val="es-CR" w:eastAsia="es-CR"/>
              </w:rPr>
              <w:t>TOTALES</w:t>
            </w:r>
          </w:p>
        </w:tc>
        <w:tc>
          <w:tcPr>
            <w:tcW w:w="643"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sz w:val="18"/>
                <w:szCs w:val="22"/>
                <w:lang w:val="es-CR" w:eastAsia="es-CR"/>
              </w:rPr>
              <w:t>41.522.388</w:t>
            </w:r>
          </w:p>
        </w:tc>
        <w:tc>
          <w:tcPr>
            <w:tcW w:w="643"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sz w:val="18"/>
                <w:szCs w:val="22"/>
                <w:lang w:val="es-CR" w:eastAsia="es-CR"/>
              </w:rPr>
              <w:t>3.327.500</w:t>
            </w:r>
          </w:p>
        </w:tc>
        <w:tc>
          <w:tcPr>
            <w:tcW w:w="500"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sz w:val="18"/>
                <w:szCs w:val="22"/>
                <w:lang w:val="es-CR" w:eastAsia="es-CR"/>
              </w:rPr>
              <w:t>927.612</w:t>
            </w:r>
          </w:p>
        </w:tc>
        <w:tc>
          <w:tcPr>
            <w:tcW w:w="572"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sz w:val="18"/>
                <w:szCs w:val="22"/>
                <w:lang w:val="es-CR" w:eastAsia="es-CR"/>
              </w:rPr>
              <w:t>4.222.501</w:t>
            </w:r>
          </w:p>
        </w:tc>
        <w:tc>
          <w:tcPr>
            <w:tcW w:w="715"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sz w:val="18"/>
                <w:szCs w:val="22"/>
                <w:lang w:val="es-CR" w:eastAsia="es-CR"/>
              </w:rPr>
              <w:t>50.000.000</w:t>
            </w:r>
          </w:p>
        </w:tc>
        <w:tc>
          <w:tcPr>
            <w:tcW w:w="643" w:type="pct"/>
            <w:tcBorders>
              <w:top w:val="nil"/>
              <w:left w:val="nil"/>
              <w:bottom w:val="single" w:sz="4" w:space="0" w:color="auto"/>
              <w:right w:val="single" w:sz="4" w:space="0" w:color="auto"/>
            </w:tcBorders>
            <w:shd w:val="clear" w:color="auto" w:fill="0070C0"/>
            <w:noWrap/>
            <w:vAlign w:val="bottom"/>
            <w:hideMark/>
          </w:tcPr>
          <w:p w:rsidR="004F3848" w:rsidRPr="004F3848" w:rsidRDefault="004F3848" w:rsidP="004F3848">
            <w:pPr>
              <w:jc w:val="right"/>
              <w:rPr>
                <w:rFonts w:ascii="Calibri" w:hAnsi="Calibri"/>
                <w:b/>
                <w:bCs/>
                <w:sz w:val="18"/>
                <w:szCs w:val="22"/>
                <w:lang w:val="es-CR" w:eastAsia="es-CR"/>
              </w:rPr>
            </w:pPr>
            <w:r w:rsidRPr="004F3848">
              <w:rPr>
                <w:rFonts w:ascii="Calibri" w:hAnsi="Calibri"/>
                <w:b/>
                <w:bCs/>
                <w:color w:val="FF0000"/>
                <w:sz w:val="18"/>
                <w:szCs w:val="22"/>
                <w:lang w:val="es-CR" w:eastAsia="es-CR"/>
              </w:rPr>
              <w:t>0,00</w:t>
            </w:r>
          </w:p>
        </w:tc>
      </w:tr>
    </w:tbl>
    <w:p w:rsidR="004F3848" w:rsidRPr="004F3848" w:rsidRDefault="004F3848" w:rsidP="004F3848">
      <w:pPr>
        <w:ind w:left="322"/>
        <w:jc w:val="both"/>
        <w:rPr>
          <w:rFonts w:ascii="Arial" w:hAnsi="Arial" w:cs="Arial"/>
          <w:lang w:val="es-CR"/>
        </w:rPr>
      </w:pPr>
    </w:p>
    <w:p w:rsidR="004F3848" w:rsidRPr="004F3848" w:rsidRDefault="004F3848" w:rsidP="004F3848">
      <w:pPr>
        <w:ind w:left="284"/>
        <w:jc w:val="both"/>
        <w:rPr>
          <w:rFonts w:ascii="Arial" w:hAnsi="Arial" w:cs="Arial"/>
          <w:sz w:val="22"/>
          <w:szCs w:val="22"/>
        </w:rPr>
      </w:pPr>
      <w:r w:rsidRPr="004F3848">
        <w:rPr>
          <w:rFonts w:ascii="Arial" w:hAnsi="Arial" w:cs="Arial"/>
          <w:sz w:val="22"/>
          <w:szCs w:val="22"/>
          <w:lang w:val="es-CR"/>
        </w:rPr>
        <w:t>Los fondos de cualquier remanente de estos proyectos serán distribuidos por el Consejo Institucional.</w:t>
      </w:r>
    </w:p>
    <w:p w:rsidR="004F3848" w:rsidRPr="004F3848" w:rsidRDefault="004F3848" w:rsidP="004F3848">
      <w:pPr>
        <w:autoSpaceDE w:val="0"/>
        <w:autoSpaceDN w:val="0"/>
        <w:adjustRightInd w:val="0"/>
        <w:jc w:val="both"/>
        <w:rPr>
          <w:rFonts w:ascii="Arial" w:hAnsi="Arial" w:cs="Arial"/>
          <w:b/>
          <w:sz w:val="22"/>
          <w:szCs w:val="22"/>
          <w:lang w:val="es-CR"/>
        </w:rPr>
      </w:pPr>
    </w:p>
    <w:p w:rsidR="004F3848" w:rsidRPr="00160BC2" w:rsidRDefault="004F3848" w:rsidP="00160BC2">
      <w:pPr>
        <w:numPr>
          <w:ilvl w:val="0"/>
          <w:numId w:val="24"/>
        </w:numPr>
        <w:ind w:left="322"/>
        <w:jc w:val="both"/>
        <w:rPr>
          <w:rFonts w:ascii="Arial" w:hAnsi="Arial" w:cs="Arial"/>
          <w:lang w:val="es-ES_tradnl"/>
        </w:rPr>
      </w:pPr>
      <w:r w:rsidRPr="004F3848">
        <w:rPr>
          <w:rFonts w:ascii="Arial" w:hAnsi="Arial" w:cs="Arial"/>
          <w:lang w:val="es-ES_tradnl"/>
        </w:rPr>
        <w:t xml:space="preserve">Indicar a la Administración que deberá designar mediante el mecanismo presupuestario que corresponda, los fondos requeridos para atender el equipamiento de la iniciativa “Comedor Estudiantil”, por un monto aproximado de  US$ 353.000,00, según considerando </w:t>
      </w:r>
      <w:r w:rsidRPr="004F3848">
        <w:rPr>
          <w:rFonts w:ascii="Arial" w:hAnsi="Arial" w:cs="Arial"/>
          <w:lang w:val="es-ES_tradnl"/>
        </w:rPr>
        <w:fldChar w:fldCharType="begin"/>
      </w:r>
      <w:r w:rsidRPr="004F3848">
        <w:rPr>
          <w:rFonts w:ascii="Arial" w:hAnsi="Arial" w:cs="Arial"/>
          <w:lang w:val="es-ES_tradnl"/>
        </w:rPr>
        <w:instrText xml:space="preserve"> REF _Ref469321072 \r \h </w:instrText>
      </w:r>
      <w:r w:rsidRPr="004F3848">
        <w:rPr>
          <w:rFonts w:ascii="Arial" w:hAnsi="Arial" w:cs="Arial"/>
          <w:lang w:val="es-ES_tradnl"/>
        </w:rPr>
      </w:r>
      <w:r w:rsidRPr="004F3848">
        <w:rPr>
          <w:rFonts w:ascii="Arial" w:hAnsi="Arial" w:cs="Arial"/>
          <w:lang w:val="es-ES_tradnl"/>
        </w:rPr>
        <w:fldChar w:fldCharType="separate"/>
      </w:r>
      <w:r w:rsidR="00B0685C">
        <w:rPr>
          <w:rFonts w:ascii="Arial" w:hAnsi="Arial" w:cs="Arial"/>
          <w:lang w:val="es-ES_tradnl"/>
        </w:rPr>
        <w:t>1. F</w:t>
      </w:r>
      <w:r w:rsidRPr="004F3848">
        <w:rPr>
          <w:rFonts w:ascii="Arial" w:hAnsi="Arial" w:cs="Arial"/>
          <w:lang w:val="es-ES_tradnl"/>
        </w:rPr>
        <w:fldChar w:fldCharType="end"/>
      </w:r>
      <w:r w:rsidRPr="004F3848">
        <w:rPr>
          <w:rFonts w:ascii="Arial" w:hAnsi="Arial" w:cs="Arial"/>
          <w:lang w:val="es-ES_tradnl"/>
        </w:rPr>
        <w:t>.</w:t>
      </w:r>
    </w:p>
    <w:p w:rsidR="004F3848" w:rsidRPr="004E5F1D" w:rsidRDefault="004F3848" w:rsidP="004E5F1D">
      <w:pPr>
        <w:ind w:left="283"/>
        <w:jc w:val="both"/>
        <w:rPr>
          <w:rFonts w:ascii="Arial" w:eastAsia="Calibri" w:hAnsi="Arial" w:cs="Arial"/>
          <w:lang w:val="es-CR"/>
        </w:rPr>
      </w:pPr>
    </w:p>
    <w:p w:rsidR="00D958BC" w:rsidRDefault="00D958BC" w:rsidP="00160BC2">
      <w:pPr>
        <w:numPr>
          <w:ilvl w:val="0"/>
          <w:numId w:val="24"/>
        </w:numPr>
        <w:ind w:left="322"/>
        <w:jc w:val="both"/>
        <w:rPr>
          <w:rFonts w:ascii="Arial" w:eastAsia="Calibri" w:hAnsi="Arial" w:cs="Arial"/>
          <w:b/>
        </w:rPr>
      </w:pPr>
      <w:r w:rsidRPr="00160BC2">
        <w:rPr>
          <w:rFonts w:ascii="Arial" w:hAnsi="Arial" w:cs="Arial"/>
          <w:lang w:val="es-ES_tradnl"/>
        </w:rPr>
        <w:t>Comunicar</w:t>
      </w:r>
      <w:r>
        <w:rPr>
          <w:rFonts w:ascii="Arial" w:eastAsia="Calibri" w:hAnsi="Arial" w:cs="Arial"/>
        </w:rPr>
        <w:t xml:space="preserve">.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160BC2" w:rsidRDefault="00160BC2" w:rsidP="00534B45">
      <w:pPr>
        <w:pStyle w:val="Prrafodelista"/>
        <w:rPr>
          <w:rFonts w:ascii="Arial" w:eastAsia="Calibri" w:hAnsi="Arial" w:cs="Arial"/>
          <w:b/>
        </w:rPr>
      </w:pPr>
    </w:p>
    <w:p w:rsidR="004F3848" w:rsidRPr="004F3848" w:rsidRDefault="004F3848" w:rsidP="004F3848">
      <w:pPr>
        <w:autoSpaceDE w:val="0"/>
        <w:autoSpaceDN w:val="0"/>
        <w:adjustRightInd w:val="0"/>
        <w:jc w:val="both"/>
        <w:rPr>
          <w:rFonts w:ascii="Arial" w:hAnsi="Arial" w:cs="Arial"/>
          <w:sz w:val="22"/>
          <w:szCs w:val="22"/>
        </w:rPr>
      </w:pPr>
      <w:r w:rsidRPr="004F3848">
        <w:rPr>
          <w:rFonts w:ascii="Arial" w:hAnsi="Arial" w:cs="Arial"/>
          <w:b/>
          <w:sz w:val="22"/>
          <w:szCs w:val="22"/>
          <w:lang w:val="es-CR"/>
        </w:rPr>
        <w:t>PALABRAS CLAVE:</w:t>
      </w:r>
      <w:r w:rsidRPr="004F3848">
        <w:rPr>
          <w:rFonts w:ascii="Arial" w:hAnsi="Arial" w:cs="Arial"/>
          <w:sz w:val="22"/>
          <w:szCs w:val="22"/>
          <w:lang w:val="es-CR"/>
        </w:rPr>
        <w:t xml:space="preserve"> </w:t>
      </w:r>
      <w:r w:rsidRPr="004F3848">
        <w:rPr>
          <w:rFonts w:ascii="Arial" w:hAnsi="Arial" w:cs="Arial"/>
          <w:sz w:val="22"/>
          <w:szCs w:val="22"/>
        </w:rPr>
        <w:t>Modificación – inciso a) acuerdo - N. 2993 – Redistribución – Fondos - Proyecto - Mejoramiento Institucional - definición - límites</w:t>
      </w:r>
    </w:p>
    <w:p w:rsidR="004F3848" w:rsidRPr="004F3848" w:rsidRDefault="004F3848" w:rsidP="004F3848">
      <w:pPr>
        <w:jc w:val="both"/>
        <w:rPr>
          <w:rFonts w:ascii="Arial" w:hAnsi="Arial" w:cs="Arial"/>
          <w:lang w:val="es-CR"/>
        </w:rPr>
      </w:pPr>
    </w:p>
    <w:p w:rsidR="00D70107" w:rsidRPr="00D70107" w:rsidRDefault="00D70107" w:rsidP="00D70107">
      <w:pPr>
        <w:tabs>
          <w:tab w:val="left" w:pos="1182"/>
        </w:tabs>
        <w:autoSpaceDE w:val="0"/>
        <w:autoSpaceDN w:val="0"/>
        <w:adjustRightInd w:val="0"/>
        <w:jc w:val="both"/>
        <w:rPr>
          <w:rFonts w:ascii="Arial" w:hAnsi="Arial" w:cs="Arial"/>
          <w:sz w:val="22"/>
          <w:szCs w:val="22"/>
          <w:lang w:val="es-CR"/>
        </w:rPr>
      </w:pPr>
    </w:p>
    <w:p w:rsidR="00493856" w:rsidRPr="00D742FF" w:rsidRDefault="00493856" w:rsidP="00533095">
      <w:pPr>
        <w:jc w:val="both"/>
        <w:rPr>
          <w:rFonts w:ascii="Arial" w:hAnsi="Arial" w:cs="Arial"/>
          <w:b/>
          <w:sz w:val="16"/>
          <w:szCs w:val="16"/>
          <w:vertAlign w:val="subscript"/>
          <w:lang w:val="es-CR"/>
        </w:rPr>
      </w:pPr>
    </w:p>
    <w:p w:rsidR="001617E0" w:rsidRPr="00423D9B"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lastRenderedPageBreak/>
        <w:t>BSS/</w:t>
      </w:r>
      <w:proofErr w:type="spellStart"/>
      <w:r>
        <w:rPr>
          <w:rFonts w:ascii="Arial" w:eastAsia="Cambria" w:hAnsi="Arial" w:cs="Arial"/>
          <w:sz w:val="18"/>
          <w:szCs w:val="18"/>
          <w:lang w:val="es-ES_tradnl" w:eastAsia="en-US"/>
        </w:rPr>
        <w:t>ar</w:t>
      </w:r>
      <w:r w:rsidR="00E965FF">
        <w:rPr>
          <w:rFonts w:ascii="Arial" w:eastAsia="Cambria" w:hAnsi="Arial" w:cs="Arial"/>
          <w:sz w:val="18"/>
          <w:szCs w:val="18"/>
          <w:lang w:val="es-ES_tradnl" w:eastAsia="en-US"/>
        </w:rPr>
        <w:t>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423D9B" w:rsidRPr="000663D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Oficina Asesoría Legal </w:t>
            </w:r>
          </w:p>
          <w:p w:rsidR="00423D9B" w:rsidRPr="000663DB" w:rsidRDefault="00423D9B" w:rsidP="00423D9B">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423D9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423D9B" w:rsidRDefault="00423D9B" w:rsidP="00423D9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0663DB" w:rsidRPr="000663DB" w:rsidRDefault="001617E0"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w:t>
            </w: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DA0942" w:rsidRDefault="00DA0942" w:rsidP="00DA0942">
      <w:pPr>
        <w:rPr>
          <w:rFonts w:ascii="Arial" w:hAnsi="Arial" w:cs="Arial"/>
          <w:b/>
        </w:rPr>
      </w:pPr>
    </w:p>
    <w:p w:rsidR="00A07346" w:rsidRDefault="00A07346" w:rsidP="00DA0942">
      <w:pPr>
        <w:rPr>
          <w:rFonts w:ascii="Arial" w:hAnsi="Arial" w:cs="Arial"/>
          <w:b/>
        </w:rPr>
      </w:pPr>
    </w:p>
    <w:p w:rsidR="0045598E" w:rsidRDefault="0045598E" w:rsidP="00DA0942">
      <w:pPr>
        <w:rPr>
          <w:rFonts w:ascii="Arial" w:hAnsi="Arial" w:cs="Arial"/>
          <w:b/>
        </w:rPr>
      </w:pPr>
      <w:r>
        <w:rPr>
          <w:rFonts w:ascii="Arial" w:hAnsi="Arial" w:cs="Arial"/>
          <w:b/>
        </w:rPr>
        <w:br w:type="textWrapping" w:clear="all"/>
      </w: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CE" w:rsidRDefault="008B7DCE">
      <w:r>
        <w:separator/>
      </w:r>
    </w:p>
  </w:endnote>
  <w:endnote w:type="continuationSeparator" w:id="0">
    <w:p w:rsidR="008B7DCE" w:rsidRDefault="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8B7DCE">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CE" w:rsidRDefault="008B7DCE">
      <w:r>
        <w:separator/>
      </w:r>
    </w:p>
  </w:footnote>
  <w:footnote w:type="continuationSeparator" w:id="0">
    <w:p w:rsidR="008B7DCE" w:rsidRDefault="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4F3848">
      <w:rPr>
        <w:rFonts w:ascii="Arial" w:eastAsia="Cambria" w:hAnsi="Arial" w:cs="Arial"/>
        <w:i/>
        <w:sz w:val="18"/>
        <w:szCs w:val="18"/>
        <w:lang w:val="es-ES_tradnl" w:eastAsia="x-none"/>
      </w:rPr>
      <w:t>3004</w:t>
    </w:r>
    <w:r w:rsidRPr="00D958BC">
      <w:rPr>
        <w:rFonts w:ascii="Arial" w:eastAsia="Cambria" w:hAnsi="Arial" w:cs="Arial"/>
        <w:i/>
        <w:sz w:val="18"/>
        <w:szCs w:val="18"/>
        <w:lang w:val="es-ES_tradnl" w:eastAsia="x-none"/>
      </w:rPr>
      <w:t>, Artículo</w:t>
    </w:r>
    <w:r w:rsidR="00D70107">
      <w:rPr>
        <w:rFonts w:ascii="Arial" w:eastAsia="Cambria" w:hAnsi="Arial" w:cs="Arial"/>
        <w:i/>
        <w:sz w:val="18"/>
        <w:szCs w:val="18"/>
        <w:lang w:val="es-ES_tradnl" w:eastAsia="x-none"/>
      </w:rPr>
      <w:t xml:space="preserve"> 8</w:t>
    </w:r>
    <w:r w:rsidRPr="00D958BC">
      <w:rPr>
        <w:rFonts w:ascii="Arial" w:eastAsia="Cambria" w:hAnsi="Arial" w:cs="Arial"/>
        <w:i/>
        <w:sz w:val="18"/>
        <w:szCs w:val="18"/>
        <w:lang w:val="es-ES_tradnl" w:eastAsia="x-none"/>
      </w:rPr>
      <w:t xml:space="preserve">, del </w:t>
    </w:r>
    <w:r w:rsidR="004F3848">
      <w:rPr>
        <w:rFonts w:ascii="Arial" w:eastAsia="Cambria" w:hAnsi="Arial" w:cs="Arial"/>
        <w:i/>
        <w:sz w:val="18"/>
        <w:szCs w:val="18"/>
        <w:lang w:val="es-ES_tradnl" w:eastAsia="x-none"/>
      </w:rPr>
      <w:t>14 de dici</w:t>
    </w:r>
    <w:r w:rsidR="00D70107">
      <w:rPr>
        <w:rFonts w:ascii="Arial" w:eastAsia="Cambria" w:hAnsi="Arial" w:cs="Arial"/>
        <w:i/>
        <w:sz w:val="18"/>
        <w:szCs w:val="18"/>
        <w:lang w:val="es-ES_tradnl" w:eastAsia="x-none"/>
      </w:rPr>
      <w:t>em</w:t>
    </w:r>
    <w:r w:rsidRPr="00D958BC">
      <w:rPr>
        <w:rFonts w:ascii="Arial" w:eastAsia="Cambria" w:hAnsi="Arial" w:cs="Arial"/>
        <w:i/>
        <w:sz w:val="18"/>
        <w:szCs w:val="18"/>
        <w:lang w:val="es-ES_tradnl" w:eastAsia="x-none"/>
      </w:rPr>
      <w:t>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C2FC6">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300B4"/>
    <w:multiLevelType w:val="hybridMultilevel"/>
    <w:tmpl w:val="D7A8CB28"/>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3"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15:restartNumberingAfterBreak="0">
    <w:nsid w:val="16F8696A"/>
    <w:multiLevelType w:val="hybridMultilevel"/>
    <w:tmpl w:val="111E18F6"/>
    <w:lvl w:ilvl="0" w:tplc="1EE6AF32">
      <w:start w:val="1"/>
      <w:numFmt w:val="lowerLetter"/>
      <w:lvlText w:val="%1)"/>
      <w:lvlJc w:val="left"/>
      <w:pPr>
        <w:ind w:left="556" w:hanging="360"/>
      </w:pPr>
      <w:rPr>
        <w:rFonts w:hint="default"/>
        <w:i/>
        <w:sz w:val="22"/>
        <w:szCs w:val="22"/>
      </w:rPr>
    </w:lvl>
    <w:lvl w:ilvl="1" w:tplc="140A0019">
      <w:start w:val="1"/>
      <w:numFmt w:val="lowerLetter"/>
      <w:lvlText w:val="%2."/>
      <w:lvlJc w:val="left"/>
      <w:pPr>
        <w:ind w:left="1276" w:hanging="360"/>
      </w:pPr>
    </w:lvl>
    <w:lvl w:ilvl="2" w:tplc="140A001B" w:tentative="1">
      <w:start w:val="1"/>
      <w:numFmt w:val="lowerRoman"/>
      <w:lvlText w:val="%3."/>
      <w:lvlJc w:val="right"/>
      <w:pPr>
        <w:ind w:left="1996" w:hanging="180"/>
      </w:pPr>
    </w:lvl>
    <w:lvl w:ilvl="3" w:tplc="140A000F" w:tentative="1">
      <w:start w:val="1"/>
      <w:numFmt w:val="decimal"/>
      <w:lvlText w:val="%4."/>
      <w:lvlJc w:val="left"/>
      <w:pPr>
        <w:ind w:left="2716" w:hanging="360"/>
      </w:pPr>
    </w:lvl>
    <w:lvl w:ilvl="4" w:tplc="140A0019" w:tentative="1">
      <w:start w:val="1"/>
      <w:numFmt w:val="lowerLetter"/>
      <w:lvlText w:val="%5."/>
      <w:lvlJc w:val="left"/>
      <w:pPr>
        <w:ind w:left="3436" w:hanging="360"/>
      </w:pPr>
    </w:lvl>
    <w:lvl w:ilvl="5" w:tplc="140A001B" w:tentative="1">
      <w:start w:val="1"/>
      <w:numFmt w:val="lowerRoman"/>
      <w:lvlText w:val="%6."/>
      <w:lvlJc w:val="right"/>
      <w:pPr>
        <w:ind w:left="4156" w:hanging="180"/>
      </w:pPr>
    </w:lvl>
    <w:lvl w:ilvl="6" w:tplc="140A000F" w:tentative="1">
      <w:start w:val="1"/>
      <w:numFmt w:val="decimal"/>
      <w:lvlText w:val="%7."/>
      <w:lvlJc w:val="left"/>
      <w:pPr>
        <w:ind w:left="4876" w:hanging="360"/>
      </w:pPr>
    </w:lvl>
    <w:lvl w:ilvl="7" w:tplc="140A0019" w:tentative="1">
      <w:start w:val="1"/>
      <w:numFmt w:val="lowerLetter"/>
      <w:lvlText w:val="%8."/>
      <w:lvlJc w:val="left"/>
      <w:pPr>
        <w:ind w:left="5596" w:hanging="360"/>
      </w:pPr>
    </w:lvl>
    <w:lvl w:ilvl="8" w:tplc="140A001B" w:tentative="1">
      <w:start w:val="1"/>
      <w:numFmt w:val="lowerRoman"/>
      <w:lvlText w:val="%9."/>
      <w:lvlJc w:val="right"/>
      <w:pPr>
        <w:ind w:left="6316" w:hanging="180"/>
      </w:pPr>
    </w:lvl>
  </w:abstractNum>
  <w:abstractNum w:abstractNumId="5"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BBE4A414"/>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A6341D"/>
    <w:multiLevelType w:val="multilevel"/>
    <w:tmpl w:val="C98EDFD0"/>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8"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0"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D0D6079"/>
    <w:multiLevelType w:val="hybridMultilevel"/>
    <w:tmpl w:val="A65CAD56"/>
    <w:lvl w:ilvl="0" w:tplc="EC3EA924">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2"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665B2C"/>
    <w:multiLevelType w:val="hybridMultilevel"/>
    <w:tmpl w:val="8144B452"/>
    <w:lvl w:ilvl="0" w:tplc="140A000F">
      <w:start w:val="1"/>
      <w:numFmt w:val="decimal"/>
      <w:lvlText w:val="%1."/>
      <w:lvlJc w:val="left"/>
      <w:pPr>
        <w:ind w:left="2880" w:hanging="360"/>
      </w:pPr>
      <w:rPr>
        <w:b/>
      </w:rPr>
    </w:lvl>
    <w:lvl w:ilvl="1" w:tplc="140A001B">
      <w:start w:val="1"/>
      <w:numFmt w:val="lowerRoman"/>
      <w:lvlText w:val="%2."/>
      <w:lvlJc w:val="right"/>
      <w:pPr>
        <w:ind w:left="3600" w:hanging="360"/>
      </w:pPr>
    </w:lvl>
    <w:lvl w:ilvl="2" w:tplc="140A001B">
      <w:start w:val="1"/>
      <w:numFmt w:val="lowerRoman"/>
      <w:lvlText w:val="%3."/>
      <w:lvlJc w:val="right"/>
      <w:pPr>
        <w:ind w:left="4320" w:hanging="180"/>
      </w:pPr>
    </w:lvl>
    <w:lvl w:ilvl="3" w:tplc="140A000F">
      <w:start w:val="1"/>
      <w:numFmt w:val="decimal"/>
      <w:lvlText w:val="%4."/>
      <w:lvlJc w:val="left"/>
      <w:pPr>
        <w:ind w:left="5040" w:hanging="360"/>
      </w:pPr>
    </w:lvl>
    <w:lvl w:ilvl="4" w:tplc="24E27DD6">
      <w:start w:val="1"/>
      <w:numFmt w:val="lowerLetter"/>
      <w:lvlText w:val="%5."/>
      <w:lvlJc w:val="left"/>
      <w:pPr>
        <w:ind w:left="5760" w:hanging="360"/>
      </w:pPr>
      <w:rPr>
        <w:b w:val="0"/>
      </w:rPr>
    </w:lvl>
    <w:lvl w:ilvl="5" w:tplc="140A001B">
      <w:start w:val="1"/>
      <w:numFmt w:val="lowerRoman"/>
      <w:lvlText w:val="%6."/>
      <w:lvlJc w:val="right"/>
      <w:pPr>
        <w:ind w:left="6480" w:hanging="180"/>
      </w:pPr>
    </w:lvl>
    <w:lvl w:ilvl="6" w:tplc="140A000F">
      <w:start w:val="1"/>
      <w:numFmt w:val="decimal"/>
      <w:lvlText w:val="%7."/>
      <w:lvlJc w:val="left"/>
      <w:pPr>
        <w:ind w:left="7200" w:hanging="360"/>
      </w:pPr>
    </w:lvl>
    <w:lvl w:ilvl="7" w:tplc="140A0019">
      <w:start w:val="1"/>
      <w:numFmt w:val="lowerLetter"/>
      <w:lvlText w:val="%8."/>
      <w:lvlJc w:val="left"/>
      <w:pPr>
        <w:ind w:left="7920" w:hanging="360"/>
      </w:pPr>
    </w:lvl>
    <w:lvl w:ilvl="8" w:tplc="140A001B">
      <w:start w:val="1"/>
      <w:numFmt w:val="lowerRoman"/>
      <w:lvlText w:val="%9."/>
      <w:lvlJc w:val="right"/>
      <w:pPr>
        <w:ind w:left="8640" w:hanging="180"/>
      </w:pPr>
    </w:lvl>
  </w:abstractNum>
  <w:num w:numId="1">
    <w:abstractNumId w:val="0"/>
  </w:num>
  <w:num w:numId="2">
    <w:abstractNumId w:val="19"/>
  </w:num>
  <w:num w:numId="3">
    <w:abstractNumId w:val="7"/>
  </w:num>
  <w:num w:numId="4">
    <w:abstractNumId w:val="6"/>
  </w:num>
  <w:num w:numId="5">
    <w:abstractNumId w:val="14"/>
  </w:num>
  <w:num w:numId="6">
    <w:abstractNumId w:val="15"/>
  </w:num>
  <w:num w:numId="7">
    <w:abstractNumId w:val="18"/>
  </w:num>
  <w:num w:numId="8">
    <w:abstractNumId w:val="5"/>
  </w:num>
  <w:num w:numId="9">
    <w:abstractNumId w:val="5"/>
  </w:num>
  <w:num w:numId="10">
    <w:abstractNumId w:val="12"/>
  </w:num>
  <w:num w:numId="11">
    <w:abstractNumId w:val="8"/>
  </w:num>
  <w:num w:numId="12">
    <w:abstractNumId w:val="16"/>
  </w:num>
  <w:num w:numId="13">
    <w:abstractNumId w:val="20"/>
  </w:num>
  <w:num w:numId="14">
    <w:abstractNumId w:val="22"/>
  </w:num>
  <w:num w:numId="15">
    <w:abstractNumId w:val="11"/>
  </w:num>
  <w:num w:numId="16">
    <w:abstractNumId w:val="13"/>
  </w:num>
  <w:num w:numId="17">
    <w:abstractNumId w:val="4"/>
  </w:num>
  <w:num w:numId="18">
    <w:abstractNumId w:val="3"/>
  </w:num>
  <w:num w:numId="19">
    <w:abstractNumId w:val="17"/>
  </w:num>
  <w:num w:numId="20">
    <w:abstractNumId w:val="21"/>
  </w:num>
  <w:num w:numId="21">
    <w:abstractNumId w:val="2"/>
  </w:num>
  <w:num w:numId="22">
    <w:abstractNumId w:val="9"/>
  </w:num>
  <w:num w:numId="23">
    <w:abstractNumId w:val="23"/>
  </w:num>
  <w:num w:numId="24">
    <w:abstractNumId w:val="1"/>
  </w:num>
  <w:num w:numId="25">
    <w:abstractNumId w:val="10"/>
  </w:num>
  <w:num w:numId="26">
    <w:abstractNumId w:val="10"/>
    <w:lvlOverride w:ilvl="0">
      <w:lvl w:ilvl="0">
        <w:start w:val="1"/>
        <w:numFmt w:val="decimal"/>
        <w:lvlText w:val="%1)"/>
        <w:lvlJc w:val="left"/>
        <w:pPr>
          <w:ind w:left="360" w:hanging="360"/>
        </w:pPr>
        <w:rPr>
          <w:rFonts w:hint="default"/>
        </w:rPr>
      </w:lvl>
    </w:lvlOverride>
    <w:lvlOverride w:ilvl="1">
      <w:lvl w:ilvl="1">
        <w:start w:val="1"/>
        <w:numFmt w:val="upperLetter"/>
        <w:lvlText w:val="%1. %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1DEB"/>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2FC6"/>
    <w:rsid w:val="000C52B7"/>
    <w:rsid w:val="000C68C0"/>
    <w:rsid w:val="000D2AD1"/>
    <w:rsid w:val="000D34C2"/>
    <w:rsid w:val="000D5ACC"/>
    <w:rsid w:val="000D5C6B"/>
    <w:rsid w:val="000D5EB1"/>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0BC2"/>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2711"/>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17B01"/>
    <w:rsid w:val="0042189A"/>
    <w:rsid w:val="004227AA"/>
    <w:rsid w:val="00423D9B"/>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5F1D"/>
    <w:rsid w:val="004E6E23"/>
    <w:rsid w:val="004F3848"/>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476A5"/>
    <w:rsid w:val="005528D9"/>
    <w:rsid w:val="005578CB"/>
    <w:rsid w:val="005579A5"/>
    <w:rsid w:val="00561FD4"/>
    <w:rsid w:val="00563E83"/>
    <w:rsid w:val="0056674D"/>
    <w:rsid w:val="005766E0"/>
    <w:rsid w:val="00591483"/>
    <w:rsid w:val="00593737"/>
    <w:rsid w:val="005972A7"/>
    <w:rsid w:val="0059756C"/>
    <w:rsid w:val="005978DB"/>
    <w:rsid w:val="005A2507"/>
    <w:rsid w:val="005A2803"/>
    <w:rsid w:val="005A57FA"/>
    <w:rsid w:val="005A583E"/>
    <w:rsid w:val="005A5BEC"/>
    <w:rsid w:val="005B093E"/>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DA9"/>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A61E8"/>
    <w:rsid w:val="006B0D38"/>
    <w:rsid w:val="006B20B4"/>
    <w:rsid w:val="006B21C4"/>
    <w:rsid w:val="006B7D15"/>
    <w:rsid w:val="006C1338"/>
    <w:rsid w:val="006C7BCB"/>
    <w:rsid w:val="006D2575"/>
    <w:rsid w:val="006D5CAB"/>
    <w:rsid w:val="006E44A4"/>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13D9"/>
    <w:rsid w:val="007D24E0"/>
    <w:rsid w:val="007D2E3F"/>
    <w:rsid w:val="007D5BC0"/>
    <w:rsid w:val="007D6527"/>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FAC"/>
    <w:rsid w:val="0089404C"/>
    <w:rsid w:val="008A03C9"/>
    <w:rsid w:val="008A0859"/>
    <w:rsid w:val="008A1075"/>
    <w:rsid w:val="008A160D"/>
    <w:rsid w:val="008A53D4"/>
    <w:rsid w:val="008B0272"/>
    <w:rsid w:val="008B43F5"/>
    <w:rsid w:val="008B7DCE"/>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354BB"/>
    <w:rsid w:val="009401C7"/>
    <w:rsid w:val="009440B1"/>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6D33"/>
    <w:rsid w:val="009A7FC5"/>
    <w:rsid w:val="009B0294"/>
    <w:rsid w:val="009B0462"/>
    <w:rsid w:val="009B0771"/>
    <w:rsid w:val="009B0DBA"/>
    <w:rsid w:val="009B267A"/>
    <w:rsid w:val="009B542F"/>
    <w:rsid w:val="009B6E5E"/>
    <w:rsid w:val="009C11B1"/>
    <w:rsid w:val="009C402F"/>
    <w:rsid w:val="009D0FB4"/>
    <w:rsid w:val="009D680A"/>
    <w:rsid w:val="009D7E35"/>
    <w:rsid w:val="009E5AB7"/>
    <w:rsid w:val="009E65F6"/>
    <w:rsid w:val="009F26A6"/>
    <w:rsid w:val="009F2D9A"/>
    <w:rsid w:val="009F3FA6"/>
    <w:rsid w:val="009F4734"/>
    <w:rsid w:val="009F79DC"/>
    <w:rsid w:val="00A00D05"/>
    <w:rsid w:val="00A00DE4"/>
    <w:rsid w:val="00A034D6"/>
    <w:rsid w:val="00A04B4B"/>
    <w:rsid w:val="00A07231"/>
    <w:rsid w:val="00A07346"/>
    <w:rsid w:val="00A12A6C"/>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0685C"/>
    <w:rsid w:val="00B1126E"/>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55B56"/>
    <w:rsid w:val="00D60137"/>
    <w:rsid w:val="00D6173A"/>
    <w:rsid w:val="00D64ED8"/>
    <w:rsid w:val="00D65680"/>
    <w:rsid w:val="00D6604C"/>
    <w:rsid w:val="00D66756"/>
    <w:rsid w:val="00D67BAD"/>
    <w:rsid w:val="00D70107"/>
    <w:rsid w:val="00D729A5"/>
    <w:rsid w:val="00D72ECB"/>
    <w:rsid w:val="00D742FF"/>
    <w:rsid w:val="00D80EF2"/>
    <w:rsid w:val="00D91190"/>
    <w:rsid w:val="00D91D3F"/>
    <w:rsid w:val="00D91FDE"/>
    <w:rsid w:val="00D954FC"/>
    <w:rsid w:val="00D958BC"/>
    <w:rsid w:val="00D9781D"/>
    <w:rsid w:val="00DA005F"/>
    <w:rsid w:val="00DA0942"/>
    <w:rsid w:val="00DA0D04"/>
    <w:rsid w:val="00DA53CD"/>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5701"/>
    <w:rsid w:val="00E0753C"/>
    <w:rsid w:val="00E11488"/>
    <w:rsid w:val="00E16F62"/>
    <w:rsid w:val="00E22D17"/>
    <w:rsid w:val="00E26992"/>
    <w:rsid w:val="00E30502"/>
    <w:rsid w:val="00E359B9"/>
    <w:rsid w:val="00E42135"/>
    <w:rsid w:val="00E42492"/>
    <w:rsid w:val="00E426E5"/>
    <w:rsid w:val="00E43A3A"/>
    <w:rsid w:val="00E440CF"/>
    <w:rsid w:val="00E46404"/>
    <w:rsid w:val="00E47137"/>
    <w:rsid w:val="00E512B0"/>
    <w:rsid w:val="00E5372B"/>
    <w:rsid w:val="00E53E75"/>
    <w:rsid w:val="00E5768A"/>
    <w:rsid w:val="00E61736"/>
    <w:rsid w:val="00E61CDC"/>
    <w:rsid w:val="00E6544B"/>
    <w:rsid w:val="00E67094"/>
    <w:rsid w:val="00E80FBE"/>
    <w:rsid w:val="00E82183"/>
    <w:rsid w:val="00E9331A"/>
    <w:rsid w:val="00E965FF"/>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F3D"/>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492C"/>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 w:val="00FF4C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8244-FD8B-462D-89DC-3B86F861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2328</Words>
  <Characters>12807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25</cp:revision>
  <cp:lastPrinted>2016-12-14T20:13:00Z</cp:lastPrinted>
  <dcterms:created xsi:type="dcterms:W3CDTF">2016-10-05T19:53:00Z</dcterms:created>
  <dcterms:modified xsi:type="dcterms:W3CDTF">2016-12-15T15:47:00Z</dcterms:modified>
</cp:coreProperties>
</file>