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733B4">
        <w:rPr>
          <w:rFonts w:ascii="Arial" w:hAnsi="Arial" w:cs="Arial"/>
          <w:b/>
          <w:bCs/>
          <w:iCs/>
          <w:sz w:val="26"/>
          <w:szCs w:val="22"/>
          <w:lang w:val="es-CR"/>
        </w:rPr>
        <w:t>102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CB682F" w:rsidRDefault="006B4FBB" w:rsidP="006B4FBB">
            <w:pPr>
              <w:jc w:val="both"/>
              <w:rPr>
                <w:rFonts w:ascii="Arial" w:hAnsi="Arial" w:cs="Arial"/>
                <w:sz w:val="22"/>
                <w:szCs w:val="22"/>
                <w:lang w:val="es-CR"/>
              </w:rPr>
            </w:pPr>
            <w:r w:rsidRPr="006B4FBB">
              <w:rPr>
                <w:rFonts w:ascii="Arial" w:hAnsi="Arial" w:cs="Arial"/>
                <w:sz w:val="22"/>
                <w:szCs w:val="22"/>
                <w:lang w:val="es-ES_tradnl"/>
              </w:rPr>
              <w:t xml:space="preserve">Sr. </w:t>
            </w:r>
            <w:r w:rsidRPr="006B4FBB">
              <w:rPr>
                <w:rFonts w:ascii="Arial" w:hAnsi="Arial" w:cs="Arial"/>
                <w:sz w:val="22"/>
                <w:szCs w:val="22"/>
                <w:lang w:val="es-CR"/>
              </w:rPr>
              <w:t>Marco William Quesada, Director, Secretaría del Directorio de la Asamblea Legislativa</w:t>
            </w:r>
          </w:p>
          <w:p w:rsidR="006B4FBB" w:rsidRPr="006B4FBB" w:rsidRDefault="006B4FBB" w:rsidP="006B4FBB">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9733B4" w:rsidP="009733B4">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37F0F" w:rsidRDefault="007742A1" w:rsidP="001E08C0">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9733B4">
              <w:rPr>
                <w:rFonts w:ascii="Arial" w:eastAsia="Calibri" w:hAnsi="Arial" w:cs="Arial"/>
                <w:b/>
                <w:sz w:val="22"/>
                <w:szCs w:val="22"/>
              </w:rPr>
              <w:t>11</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9733B4">
              <w:rPr>
                <w:rFonts w:ascii="Arial" w:eastAsia="Calibri" w:hAnsi="Arial" w:cs="Arial"/>
                <w:b/>
                <w:sz w:val="22"/>
                <w:szCs w:val="22"/>
              </w:rPr>
              <w:t>9</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9733B4">
              <w:rPr>
                <w:rFonts w:ascii="Arial" w:eastAsia="Calibri" w:hAnsi="Arial" w:cs="Arial"/>
                <w:b/>
                <w:sz w:val="22"/>
                <w:szCs w:val="22"/>
              </w:rPr>
              <w:t>01</w:t>
            </w:r>
            <w:r w:rsidRPr="00D958BC">
              <w:rPr>
                <w:rFonts w:ascii="Arial" w:eastAsia="Calibri" w:hAnsi="Arial" w:cs="Arial"/>
                <w:b/>
                <w:sz w:val="22"/>
                <w:szCs w:val="22"/>
              </w:rPr>
              <w:t xml:space="preserve"> de </w:t>
            </w:r>
            <w:r w:rsidR="009733B4">
              <w:rPr>
                <w:rFonts w:ascii="Arial" w:eastAsia="Calibri" w:hAnsi="Arial" w:cs="Arial"/>
                <w:b/>
                <w:sz w:val="22"/>
                <w:szCs w:val="22"/>
              </w:rPr>
              <w:t>marzo</w:t>
            </w:r>
            <w:r w:rsidR="00A772EF">
              <w:rPr>
                <w:rFonts w:ascii="Arial" w:eastAsia="Calibri" w:hAnsi="Arial" w:cs="Arial"/>
                <w:b/>
                <w:sz w:val="22"/>
                <w:szCs w:val="22"/>
              </w:rPr>
              <w:t xml:space="preserve"> de 2017</w:t>
            </w:r>
            <w:r w:rsidR="001E08C0">
              <w:rPr>
                <w:rFonts w:ascii="Arial" w:eastAsia="Calibri" w:hAnsi="Arial" w:cs="Arial"/>
                <w:b/>
                <w:sz w:val="22"/>
                <w:szCs w:val="22"/>
              </w:rPr>
              <w:t>.  Pronunciamiento del Consejo Institucional sobre el Proyecto de Ley “Fortalecimiento del Instituto Costarricense de Ferrocarriles (INCOFER) y promoción del Tren Eléctrico Interurbano de la Gran Área Metropolitana”, Expediente No. 18.252</w:t>
            </w:r>
          </w:p>
          <w:p w:rsidR="001E08C0" w:rsidRDefault="001E08C0" w:rsidP="001E08C0">
            <w:pPr>
              <w:ind w:left="67"/>
              <w:jc w:val="both"/>
              <w:rPr>
                <w:rFonts w:ascii="Arial" w:eastAsia="Calibri" w:hAnsi="Arial" w:cs="Arial"/>
                <w:b/>
                <w:sz w:val="22"/>
                <w:szCs w:val="22"/>
              </w:rPr>
            </w:pPr>
          </w:p>
          <w:p w:rsidR="001E08C0" w:rsidRPr="00D958BC" w:rsidRDefault="001E08C0" w:rsidP="001E08C0">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6B4FBB" w:rsidRPr="006B4FBB" w:rsidRDefault="006B4FBB" w:rsidP="006B4FBB">
      <w:pPr>
        <w:contextualSpacing/>
        <w:jc w:val="both"/>
        <w:outlineLvl w:val="0"/>
        <w:rPr>
          <w:rFonts w:ascii="Arial" w:hAnsi="Arial" w:cs="Arial"/>
          <w:b/>
        </w:rPr>
      </w:pPr>
      <w:r w:rsidRPr="006B4FBB">
        <w:rPr>
          <w:rFonts w:ascii="Arial" w:hAnsi="Arial" w:cs="Arial"/>
          <w:b/>
        </w:rPr>
        <w:t>RESULTANDO QUE:</w:t>
      </w:r>
    </w:p>
    <w:p w:rsidR="006B4FBB" w:rsidRPr="006B4FBB" w:rsidRDefault="006B4FBB" w:rsidP="006B4FBB">
      <w:pPr>
        <w:contextualSpacing/>
        <w:jc w:val="both"/>
        <w:outlineLvl w:val="0"/>
        <w:rPr>
          <w:rFonts w:ascii="Arial" w:hAnsi="Arial" w:cs="Arial"/>
          <w:b/>
        </w:rPr>
      </w:pPr>
    </w:p>
    <w:p w:rsidR="006B4FBB" w:rsidRPr="006B4FBB" w:rsidRDefault="006B4FBB" w:rsidP="006B4FBB">
      <w:pPr>
        <w:numPr>
          <w:ilvl w:val="0"/>
          <w:numId w:val="19"/>
        </w:numPr>
        <w:ind w:left="360"/>
        <w:jc w:val="both"/>
        <w:rPr>
          <w:rFonts w:ascii="Arial" w:hAnsi="Arial" w:cs="Arial"/>
          <w:lang w:val="es-CR"/>
        </w:rPr>
      </w:pPr>
      <w:r w:rsidRPr="006B4FBB">
        <w:rPr>
          <w:rFonts w:ascii="Arial" w:hAnsi="Arial" w:cs="Arial"/>
          <w:lang w:val="es-CR"/>
        </w:rPr>
        <w:t>El Artículo 88 de la Constitución Política de la República de Costa Rica prescribe:</w:t>
      </w:r>
    </w:p>
    <w:p w:rsidR="006B4FBB" w:rsidRPr="006B4FBB" w:rsidRDefault="006B4FBB" w:rsidP="006B4FBB">
      <w:pPr>
        <w:ind w:left="360"/>
        <w:jc w:val="both"/>
        <w:rPr>
          <w:rFonts w:ascii="Arial" w:hAnsi="Arial" w:cs="Arial"/>
          <w:lang w:val="es-CR"/>
        </w:rPr>
      </w:pPr>
    </w:p>
    <w:p w:rsidR="006B4FBB" w:rsidRPr="006B4FBB" w:rsidRDefault="006B4FBB" w:rsidP="006B4FBB">
      <w:pPr>
        <w:ind w:left="1080" w:right="689"/>
        <w:jc w:val="both"/>
        <w:rPr>
          <w:rFonts w:ascii="Arial" w:hAnsi="Arial" w:cs="Arial"/>
          <w:i/>
          <w:sz w:val="20"/>
          <w:szCs w:val="20"/>
          <w:lang w:val="es-CR"/>
        </w:rPr>
      </w:pPr>
      <w:r w:rsidRPr="006B4FBB">
        <w:rPr>
          <w:rFonts w:ascii="Arial" w:hAnsi="Arial" w:cs="Arial"/>
          <w:i/>
          <w:sz w:val="20"/>
          <w:szCs w:val="20"/>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6B4FBB" w:rsidRPr="006B4FBB" w:rsidRDefault="006B4FBB" w:rsidP="006B4FBB">
      <w:pPr>
        <w:ind w:left="1080" w:right="689"/>
        <w:jc w:val="both"/>
        <w:rPr>
          <w:rFonts w:ascii="Arial" w:hAnsi="Arial" w:cs="Arial"/>
          <w:i/>
          <w:sz w:val="20"/>
          <w:szCs w:val="20"/>
          <w:lang w:val="es-CR"/>
        </w:rPr>
      </w:pPr>
    </w:p>
    <w:p w:rsidR="006B4FBB" w:rsidRPr="006B4FBB" w:rsidRDefault="006B4FBB" w:rsidP="006B4FBB">
      <w:pPr>
        <w:numPr>
          <w:ilvl w:val="0"/>
          <w:numId w:val="19"/>
        </w:numPr>
        <w:ind w:left="360"/>
        <w:jc w:val="both"/>
        <w:rPr>
          <w:rFonts w:ascii="Arial" w:hAnsi="Arial" w:cs="Arial"/>
          <w:lang w:val="es-CR"/>
        </w:rPr>
      </w:pPr>
      <w:r w:rsidRPr="006B4FBB">
        <w:rPr>
          <w:rFonts w:ascii="Arial" w:hAnsi="Arial" w:cs="Arial"/>
          <w:lang w:val="es-CR"/>
        </w:rPr>
        <w:t>El Estatuto Orgánico del Instituto Tecnológico de Costa Rica, en el Artículo 18, inciso i) señala:</w:t>
      </w:r>
    </w:p>
    <w:p w:rsidR="006B4FBB" w:rsidRPr="006B4FBB" w:rsidRDefault="006B4FBB" w:rsidP="006B4FBB">
      <w:pPr>
        <w:ind w:left="1080" w:right="689"/>
        <w:jc w:val="both"/>
        <w:rPr>
          <w:rFonts w:ascii="Arial" w:hAnsi="Arial" w:cs="Arial"/>
          <w:i/>
          <w:sz w:val="20"/>
          <w:szCs w:val="20"/>
          <w:lang w:val="es-CR"/>
        </w:rPr>
      </w:pPr>
    </w:p>
    <w:p w:rsidR="006B4FBB" w:rsidRPr="006B4FBB" w:rsidRDefault="006B4FBB" w:rsidP="006B4FBB">
      <w:pPr>
        <w:ind w:left="1080" w:right="689"/>
        <w:jc w:val="both"/>
        <w:rPr>
          <w:rFonts w:ascii="Arial" w:hAnsi="Arial" w:cs="Arial"/>
          <w:i/>
          <w:sz w:val="20"/>
          <w:szCs w:val="20"/>
          <w:lang w:val="es-CR"/>
        </w:rPr>
      </w:pPr>
      <w:r w:rsidRPr="006B4FBB">
        <w:rPr>
          <w:rFonts w:ascii="Arial" w:hAnsi="Arial" w:cs="Arial"/>
          <w:i/>
          <w:sz w:val="20"/>
          <w:szCs w:val="20"/>
          <w:lang w:val="es-CR"/>
        </w:rPr>
        <w:t>“Son funciones del Consejo Institucional:</w:t>
      </w:r>
    </w:p>
    <w:p w:rsidR="006B4FBB" w:rsidRPr="006B4FBB" w:rsidRDefault="006B4FBB" w:rsidP="006B4FBB">
      <w:pPr>
        <w:ind w:left="1080" w:right="689"/>
        <w:jc w:val="both"/>
        <w:rPr>
          <w:rFonts w:ascii="Arial" w:hAnsi="Arial" w:cs="Arial"/>
          <w:i/>
          <w:sz w:val="20"/>
          <w:szCs w:val="20"/>
          <w:lang w:val="es-CR"/>
        </w:rPr>
      </w:pPr>
      <w:r w:rsidRPr="006B4FBB">
        <w:rPr>
          <w:rFonts w:ascii="Arial" w:hAnsi="Arial" w:cs="Arial"/>
          <w:i/>
          <w:sz w:val="20"/>
          <w:szCs w:val="20"/>
          <w:lang w:val="es-CR"/>
        </w:rPr>
        <w:t>…</w:t>
      </w:r>
    </w:p>
    <w:p w:rsidR="006B4FBB" w:rsidRPr="006B4FBB" w:rsidRDefault="006B4FBB" w:rsidP="006B4FBB">
      <w:pPr>
        <w:ind w:left="1080" w:right="689"/>
        <w:jc w:val="both"/>
        <w:rPr>
          <w:rFonts w:ascii="Arial" w:hAnsi="Arial" w:cs="Arial"/>
          <w:i/>
          <w:sz w:val="20"/>
          <w:szCs w:val="20"/>
          <w:lang w:val="es-CR"/>
        </w:rPr>
      </w:pPr>
      <w:r w:rsidRPr="006B4FBB">
        <w:rPr>
          <w:rFonts w:ascii="Arial" w:hAnsi="Arial" w:cs="Arial"/>
          <w:i/>
          <w:sz w:val="20"/>
          <w:szCs w:val="20"/>
          <w:lang w:val="es-CR"/>
        </w:rPr>
        <w:t>Evacuar las consultas a que se refiere el Artículo 88 de la Constitución Política de la República”.</w:t>
      </w:r>
    </w:p>
    <w:p w:rsidR="006B4FBB" w:rsidRPr="006B4FBB" w:rsidRDefault="006B4FBB" w:rsidP="006B4FBB">
      <w:pPr>
        <w:ind w:right="689"/>
        <w:jc w:val="both"/>
        <w:rPr>
          <w:rFonts w:ascii="Arial" w:hAnsi="Arial" w:cs="Arial"/>
          <w:i/>
          <w:sz w:val="20"/>
          <w:szCs w:val="20"/>
          <w:lang w:val="es-CR"/>
        </w:rPr>
      </w:pPr>
    </w:p>
    <w:p w:rsidR="006B4FBB" w:rsidRPr="006B4FBB" w:rsidRDefault="006B4FBB" w:rsidP="006B4FBB">
      <w:pPr>
        <w:contextualSpacing/>
        <w:jc w:val="both"/>
        <w:outlineLvl w:val="0"/>
        <w:rPr>
          <w:rFonts w:ascii="Arial" w:hAnsi="Arial" w:cs="Arial"/>
          <w:b/>
        </w:rPr>
      </w:pPr>
      <w:r w:rsidRPr="006B4FBB">
        <w:rPr>
          <w:rFonts w:ascii="Arial" w:hAnsi="Arial" w:cs="Arial"/>
          <w:b/>
        </w:rPr>
        <w:t>CONSIDERANDO QUE:</w:t>
      </w:r>
    </w:p>
    <w:p w:rsidR="006B4FBB" w:rsidRPr="006B4FBB" w:rsidRDefault="006B4FBB" w:rsidP="006B4FBB">
      <w:pPr>
        <w:contextualSpacing/>
        <w:jc w:val="both"/>
        <w:outlineLvl w:val="0"/>
        <w:rPr>
          <w:rFonts w:ascii="Arial" w:hAnsi="Arial" w:cs="Arial"/>
          <w:b/>
        </w:rPr>
      </w:pPr>
    </w:p>
    <w:p w:rsidR="006B4FBB" w:rsidRPr="006B4FBB" w:rsidRDefault="006B4FBB" w:rsidP="006B4FBB">
      <w:pPr>
        <w:numPr>
          <w:ilvl w:val="0"/>
          <w:numId w:val="20"/>
        </w:numPr>
        <w:ind w:left="426"/>
        <w:jc w:val="both"/>
        <w:rPr>
          <w:rFonts w:ascii="Arial" w:hAnsi="Arial" w:cs="Arial"/>
          <w:lang w:val="es-CR"/>
        </w:rPr>
      </w:pPr>
      <w:r w:rsidRPr="006B4FBB">
        <w:rPr>
          <w:rFonts w:ascii="Arial" w:hAnsi="Arial" w:cs="Arial"/>
          <w:lang w:val="es-CR"/>
        </w:rPr>
        <w:t>La Secretaría del Consejo Institucional recibe mediante correo electrónico el oficio AL-DSDI-OFI-117-2016, con fecha de recibido 28 de abril de 2016, suscrito por el señor  Marco William Quesada, Director, Secretaría del Directorio de la Asamblea Legislativa, dirigido al Dr. Julio Calvo, Rector, en el cual solicita criterio sobre el Proyecto de Ley  “Fortalecimiento del Instituto Costarricense de Ferrocarriles (INCOFER) y Promoción del tren eléctrico INTER urbano de la gran Área Metropolitana”, Expediente No. 18.252.</w:t>
      </w:r>
    </w:p>
    <w:p w:rsidR="006B4FBB" w:rsidRPr="006B4FBB" w:rsidRDefault="006B4FBB" w:rsidP="006B4FBB">
      <w:pPr>
        <w:ind w:left="426"/>
        <w:jc w:val="both"/>
        <w:rPr>
          <w:rFonts w:ascii="Arial" w:hAnsi="Arial" w:cs="Arial"/>
          <w:lang w:val="es-CR"/>
        </w:rPr>
      </w:pPr>
    </w:p>
    <w:p w:rsidR="006B4FBB" w:rsidRPr="006B4FBB" w:rsidRDefault="006B4FBB" w:rsidP="006B4FBB">
      <w:pPr>
        <w:numPr>
          <w:ilvl w:val="0"/>
          <w:numId w:val="20"/>
        </w:numPr>
        <w:ind w:left="426"/>
        <w:jc w:val="both"/>
        <w:rPr>
          <w:rFonts w:ascii="Arial" w:hAnsi="Arial" w:cs="Arial"/>
          <w:lang w:val="es-CR"/>
        </w:rPr>
      </w:pPr>
      <w:r w:rsidRPr="006B4FBB">
        <w:rPr>
          <w:rFonts w:ascii="Arial" w:hAnsi="Arial" w:cs="Arial"/>
          <w:lang w:val="es-CR"/>
        </w:rPr>
        <w:lastRenderedPageBreak/>
        <w:t xml:space="preserve">El precitado oficio fue conocido por el Consejo Institucional, en la Sesión No. </w:t>
      </w:r>
      <w:r w:rsidRPr="006B4FBB">
        <w:rPr>
          <w:rFonts w:ascii="Arial" w:eastAsia="Cambria" w:hAnsi="Arial" w:cs="Arial"/>
          <w:lang w:val="es-ES_tradnl" w:eastAsia="en-US"/>
        </w:rPr>
        <w:t>2969 del Consejo Institucional, celebrada el día 04 de mayo del 2016</w:t>
      </w:r>
      <w:r w:rsidRPr="006B4FBB">
        <w:rPr>
          <w:rFonts w:ascii="Arial" w:hAnsi="Arial" w:cs="Arial"/>
          <w:lang w:val="es-CR"/>
        </w:rPr>
        <w:t xml:space="preserve">, y se dispone remitirlo en consulta a las siguientes escuelas: Escuela de Química, Escuela de Construcción y a la Escuela de Ingeniería en Seguridad Laboral e Higiene Ambiental. </w:t>
      </w:r>
    </w:p>
    <w:p w:rsidR="006B4FBB" w:rsidRPr="006B4FBB" w:rsidRDefault="006B4FBB" w:rsidP="006B4FBB">
      <w:pPr>
        <w:rPr>
          <w:rFonts w:ascii="Arial" w:hAnsi="Arial" w:cs="Arial"/>
          <w:highlight w:val="cyan"/>
          <w:lang w:val="es-CR"/>
        </w:rPr>
      </w:pPr>
    </w:p>
    <w:p w:rsidR="006B4FBB" w:rsidRPr="006B4FBB" w:rsidRDefault="006B4FBB" w:rsidP="006B4FBB">
      <w:pPr>
        <w:numPr>
          <w:ilvl w:val="0"/>
          <w:numId w:val="20"/>
        </w:numPr>
        <w:ind w:left="426"/>
        <w:jc w:val="both"/>
        <w:rPr>
          <w:rFonts w:ascii="Arial" w:hAnsi="Arial" w:cs="Arial"/>
          <w:lang w:val="es-CR"/>
        </w:rPr>
      </w:pPr>
      <w:r w:rsidRPr="006B4FBB">
        <w:rPr>
          <w:rFonts w:ascii="Arial" w:hAnsi="Arial" w:cs="Arial"/>
          <w:lang w:val="es-CR"/>
        </w:rPr>
        <w:t>Lista de oficios anexos:</w:t>
      </w:r>
    </w:p>
    <w:p w:rsidR="006B4FBB" w:rsidRPr="006B4FBB" w:rsidRDefault="006B4FBB" w:rsidP="006B4FBB">
      <w:pPr>
        <w:rPr>
          <w:rFonts w:ascii="Arial" w:hAnsi="Arial" w:cs="Arial"/>
          <w:lang w:val="es-CR"/>
        </w:rPr>
      </w:pPr>
    </w:p>
    <w:p w:rsidR="006B4FBB" w:rsidRPr="006B4FBB" w:rsidRDefault="006B4FBB" w:rsidP="006B4FBB">
      <w:pPr>
        <w:ind w:left="360"/>
        <w:jc w:val="both"/>
        <w:rPr>
          <w:rFonts w:ascii="Arial" w:hAnsi="Arial" w:cs="Arial"/>
          <w:b/>
          <w:sz w:val="22"/>
          <w:szCs w:val="22"/>
          <w:lang w:val="es-CR"/>
        </w:rPr>
      </w:pPr>
      <w:r w:rsidRPr="006B4FBB">
        <w:rPr>
          <w:rFonts w:ascii="Arial" w:hAnsi="Arial" w:cs="Arial"/>
          <w:b/>
          <w:sz w:val="22"/>
          <w:szCs w:val="22"/>
          <w:lang w:val="es-CR"/>
        </w:rPr>
        <w:t>Anexo 1</w:t>
      </w:r>
    </w:p>
    <w:p w:rsidR="006B4FBB" w:rsidRPr="006B4FBB" w:rsidRDefault="006B4FBB" w:rsidP="006B4FBB">
      <w:pPr>
        <w:ind w:left="360"/>
        <w:jc w:val="both"/>
        <w:rPr>
          <w:rFonts w:ascii="Arial" w:hAnsi="Arial" w:cs="Arial"/>
          <w:b/>
          <w:sz w:val="22"/>
          <w:szCs w:val="22"/>
          <w:lang w:val="es-C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930"/>
      </w:tblGrid>
      <w:tr w:rsidR="006B4FBB" w:rsidRPr="006B4FBB" w:rsidTr="004010C4">
        <w:trPr>
          <w:trHeight w:val="367"/>
        </w:trPr>
        <w:tc>
          <w:tcPr>
            <w:tcW w:w="2381" w:type="dxa"/>
            <w:shd w:val="clear" w:color="auto" w:fill="auto"/>
          </w:tcPr>
          <w:p w:rsidR="006B4FBB" w:rsidRPr="006B4FBB" w:rsidRDefault="006B4FBB" w:rsidP="006B4FBB">
            <w:pPr>
              <w:jc w:val="center"/>
              <w:rPr>
                <w:rFonts w:ascii="Arial" w:hAnsi="Arial" w:cs="Arial"/>
                <w:sz w:val="22"/>
                <w:szCs w:val="22"/>
              </w:rPr>
            </w:pPr>
            <w:r w:rsidRPr="006B4FBB">
              <w:rPr>
                <w:rFonts w:ascii="Arial" w:hAnsi="Arial" w:cs="Arial"/>
                <w:sz w:val="22"/>
                <w:szCs w:val="22"/>
              </w:rPr>
              <w:t>Oficio</w:t>
            </w:r>
          </w:p>
        </w:tc>
        <w:tc>
          <w:tcPr>
            <w:tcW w:w="5930" w:type="dxa"/>
            <w:shd w:val="clear" w:color="auto" w:fill="auto"/>
          </w:tcPr>
          <w:p w:rsidR="006B4FBB" w:rsidRPr="006B4FBB" w:rsidRDefault="006B4FBB" w:rsidP="006B4FBB">
            <w:pPr>
              <w:jc w:val="center"/>
              <w:rPr>
                <w:rFonts w:ascii="Arial" w:hAnsi="Arial" w:cs="Arial"/>
                <w:sz w:val="22"/>
                <w:szCs w:val="22"/>
              </w:rPr>
            </w:pPr>
            <w:r w:rsidRPr="006B4FBB">
              <w:rPr>
                <w:rFonts w:ascii="Arial" w:hAnsi="Arial" w:cs="Arial"/>
                <w:sz w:val="22"/>
                <w:szCs w:val="22"/>
              </w:rPr>
              <w:t>Asunto</w:t>
            </w:r>
          </w:p>
        </w:tc>
      </w:tr>
      <w:tr w:rsidR="006B4FBB" w:rsidRPr="006B4FBB" w:rsidTr="004010C4">
        <w:tc>
          <w:tcPr>
            <w:tcW w:w="2381" w:type="dxa"/>
            <w:shd w:val="clear" w:color="auto" w:fill="auto"/>
          </w:tcPr>
          <w:p w:rsidR="006B4FBB" w:rsidRPr="006B4FBB" w:rsidRDefault="006B4FBB" w:rsidP="006B4FBB">
            <w:pPr>
              <w:rPr>
                <w:rFonts w:ascii="Arial" w:hAnsi="Arial" w:cs="Arial"/>
                <w:sz w:val="22"/>
                <w:szCs w:val="22"/>
                <w:lang w:val="es-CR"/>
              </w:rPr>
            </w:pPr>
            <w:r w:rsidRPr="006B4FBB">
              <w:rPr>
                <w:rFonts w:ascii="Arial" w:hAnsi="Arial" w:cs="Arial"/>
                <w:sz w:val="22"/>
                <w:szCs w:val="22"/>
                <w:lang w:val="es-CR"/>
              </w:rPr>
              <w:t>AL-DSDI-OFI-117-16-17, del 28-04-2016 de la Asamblea Legislativa</w:t>
            </w:r>
          </w:p>
        </w:tc>
        <w:tc>
          <w:tcPr>
            <w:tcW w:w="5930" w:type="dxa"/>
            <w:shd w:val="clear" w:color="auto" w:fill="auto"/>
          </w:tcPr>
          <w:p w:rsidR="006B4FBB" w:rsidRPr="006B4FBB" w:rsidRDefault="006B4FBB" w:rsidP="006B4FBB">
            <w:pPr>
              <w:jc w:val="both"/>
              <w:rPr>
                <w:rFonts w:ascii="Arial" w:eastAsia="Cambria" w:hAnsi="Arial" w:cs="Arial"/>
                <w:bCs/>
                <w:iCs/>
                <w:sz w:val="22"/>
                <w:szCs w:val="22"/>
                <w:lang w:val="es-ES_tradnl" w:eastAsia="en-US"/>
              </w:rPr>
            </w:pPr>
            <w:r w:rsidRPr="006B4FBB">
              <w:rPr>
                <w:rFonts w:ascii="Arial" w:eastAsia="Cambria" w:hAnsi="Arial" w:cs="Arial"/>
                <w:bCs/>
                <w:iCs/>
                <w:sz w:val="22"/>
                <w:szCs w:val="22"/>
                <w:lang w:val="es-ES_tradnl" w:eastAsia="en-US"/>
              </w:rPr>
              <w:t>Solicitud de criterio al Instituto Tecnológico de Costa Rica sobre el Proyecto de Ley “</w:t>
            </w:r>
            <w:r w:rsidRPr="006B4FBB">
              <w:rPr>
                <w:rFonts w:ascii="Arial" w:hAnsi="Arial" w:cs="Arial"/>
                <w:lang w:val="es-CR"/>
              </w:rPr>
              <w:t>Fortalecimiento del Instituto Costarricense de Ferrocarriles (INCOFER) y Promoción del tren eléctrico INTER urbano de la gran Área Metropolitana”, Expediente No. 18.252.</w:t>
            </w:r>
          </w:p>
          <w:p w:rsidR="006B4FBB" w:rsidRPr="006B4FBB" w:rsidRDefault="006B4FBB" w:rsidP="006B4FBB">
            <w:pPr>
              <w:jc w:val="both"/>
              <w:rPr>
                <w:rFonts w:ascii="Arial" w:hAnsi="Arial" w:cs="Arial"/>
                <w:sz w:val="22"/>
                <w:szCs w:val="22"/>
              </w:rPr>
            </w:pPr>
          </w:p>
        </w:tc>
      </w:tr>
    </w:tbl>
    <w:p w:rsidR="006B4FBB" w:rsidRPr="006B4FBB" w:rsidRDefault="006B4FBB" w:rsidP="006B4FBB">
      <w:pPr>
        <w:ind w:left="360"/>
        <w:jc w:val="both"/>
        <w:rPr>
          <w:rFonts w:ascii="Arial" w:hAnsi="Arial" w:cs="Arial"/>
          <w:b/>
          <w:sz w:val="22"/>
          <w:szCs w:val="22"/>
          <w:lang w:val="es-CR"/>
        </w:rPr>
      </w:pPr>
    </w:p>
    <w:p w:rsidR="006B4FBB" w:rsidRPr="006B4FBB" w:rsidRDefault="006B4FBB" w:rsidP="006B4FBB">
      <w:pPr>
        <w:ind w:left="360"/>
        <w:jc w:val="both"/>
        <w:rPr>
          <w:rFonts w:ascii="Arial" w:hAnsi="Arial" w:cs="Arial"/>
          <w:b/>
          <w:sz w:val="22"/>
          <w:szCs w:val="22"/>
          <w:lang w:val="es-CR"/>
        </w:rPr>
      </w:pPr>
      <w:r w:rsidRPr="006B4FBB">
        <w:rPr>
          <w:rFonts w:ascii="Arial" w:hAnsi="Arial" w:cs="Arial"/>
          <w:b/>
          <w:sz w:val="22"/>
          <w:szCs w:val="22"/>
          <w:lang w:val="es-CR"/>
        </w:rPr>
        <w:t>Anexo 2</w:t>
      </w:r>
    </w:p>
    <w:p w:rsidR="006B4FBB" w:rsidRPr="006B4FBB" w:rsidRDefault="006B4FBB" w:rsidP="006B4FBB">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6B4FBB" w:rsidRPr="006B4FBB" w:rsidTr="004010C4">
        <w:tc>
          <w:tcPr>
            <w:tcW w:w="2334" w:type="dxa"/>
            <w:shd w:val="clear" w:color="auto" w:fill="auto"/>
          </w:tcPr>
          <w:p w:rsidR="006B4FBB" w:rsidRPr="006B4FBB" w:rsidRDefault="006B4FBB" w:rsidP="006B4FBB">
            <w:pPr>
              <w:jc w:val="center"/>
              <w:rPr>
                <w:rFonts w:ascii="Arial" w:hAnsi="Arial" w:cs="Arial"/>
                <w:sz w:val="22"/>
                <w:szCs w:val="22"/>
              </w:rPr>
            </w:pPr>
            <w:r w:rsidRPr="006B4FBB">
              <w:rPr>
                <w:rFonts w:ascii="Arial" w:hAnsi="Arial" w:cs="Arial"/>
                <w:sz w:val="22"/>
                <w:szCs w:val="22"/>
              </w:rPr>
              <w:t>Oficio</w:t>
            </w:r>
          </w:p>
        </w:tc>
        <w:tc>
          <w:tcPr>
            <w:tcW w:w="5977" w:type="dxa"/>
            <w:shd w:val="clear" w:color="auto" w:fill="auto"/>
          </w:tcPr>
          <w:p w:rsidR="006B4FBB" w:rsidRPr="006B4FBB" w:rsidRDefault="006B4FBB" w:rsidP="006B4FBB">
            <w:pPr>
              <w:jc w:val="center"/>
              <w:rPr>
                <w:rFonts w:ascii="Arial" w:hAnsi="Arial" w:cs="Arial"/>
                <w:sz w:val="22"/>
                <w:szCs w:val="22"/>
              </w:rPr>
            </w:pPr>
            <w:r w:rsidRPr="006B4FBB">
              <w:rPr>
                <w:rFonts w:ascii="Arial" w:hAnsi="Arial" w:cs="Arial"/>
                <w:sz w:val="22"/>
                <w:szCs w:val="22"/>
              </w:rPr>
              <w:t>Asunto</w:t>
            </w:r>
          </w:p>
        </w:tc>
      </w:tr>
      <w:tr w:rsidR="006B4FBB" w:rsidRPr="006B4FBB" w:rsidTr="004010C4">
        <w:tc>
          <w:tcPr>
            <w:tcW w:w="2334" w:type="dxa"/>
            <w:shd w:val="clear" w:color="auto" w:fill="auto"/>
          </w:tcPr>
          <w:p w:rsidR="006B4FBB" w:rsidRPr="006B4FBB" w:rsidRDefault="006B4FBB" w:rsidP="006B4FBB">
            <w:pPr>
              <w:jc w:val="both"/>
              <w:rPr>
                <w:rFonts w:ascii="Arial" w:hAnsi="Arial" w:cs="Arial"/>
                <w:sz w:val="22"/>
                <w:szCs w:val="22"/>
              </w:rPr>
            </w:pPr>
            <w:r w:rsidRPr="006B4FBB">
              <w:rPr>
                <w:rFonts w:ascii="Arial" w:hAnsi="Arial" w:cs="Arial"/>
                <w:sz w:val="22"/>
                <w:szCs w:val="22"/>
              </w:rPr>
              <w:t>SCI-230-2016, del 04 de mayo de 2016</w:t>
            </w:r>
          </w:p>
        </w:tc>
        <w:tc>
          <w:tcPr>
            <w:tcW w:w="5977" w:type="dxa"/>
            <w:shd w:val="clear" w:color="auto" w:fill="auto"/>
          </w:tcPr>
          <w:p w:rsidR="006B4FBB" w:rsidRPr="006B4FBB" w:rsidRDefault="006B4FBB" w:rsidP="006B4FBB">
            <w:pPr>
              <w:jc w:val="both"/>
              <w:rPr>
                <w:rFonts w:ascii="Arial" w:hAnsi="Arial" w:cs="Arial"/>
                <w:sz w:val="22"/>
                <w:szCs w:val="22"/>
                <w:lang w:val="es-CR"/>
              </w:rPr>
            </w:pPr>
            <w:r w:rsidRPr="006B4FBB">
              <w:rPr>
                <w:rFonts w:ascii="Arial" w:hAnsi="Arial" w:cs="Arial"/>
                <w:sz w:val="22"/>
                <w:szCs w:val="22"/>
              </w:rPr>
              <w:t xml:space="preserve">Solicitud de criterio </w:t>
            </w:r>
            <w:r w:rsidRPr="006B4FBB">
              <w:rPr>
                <w:rFonts w:ascii="Arial" w:eastAsia="Cambria" w:hAnsi="Arial" w:cs="Arial"/>
                <w:bCs/>
                <w:iCs/>
                <w:sz w:val="22"/>
                <w:szCs w:val="22"/>
                <w:lang w:val="es-ES_tradnl" w:eastAsia="en-US"/>
              </w:rPr>
              <w:t xml:space="preserve">a </w:t>
            </w:r>
            <w:proofErr w:type="gramStart"/>
            <w:r w:rsidRPr="006B4FBB">
              <w:rPr>
                <w:rFonts w:ascii="Arial" w:hAnsi="Arial" w:cs="Arial"/>
                <w:sz w:val="22"/>
                <w:szCs w:val="22"/>
              </w:rPr>
              <w:t>la  Escuela</w:t>
            </w:r>
            <w:proofErr w:type="gramEnd"/>
            <w:r w:rsidRPr="006B4FBB">
              <w:rPr>
                <w:rFonts w:ascii="Arial" w:hAnsi="Arial" w:cs="Arial"/>
                <w:sz w:val="22"/>
                <w:szCs w:val="22"/>
              </w:rPr>
              <w:t xml:space="preserve"> de Construcción y al Escuela de Ingeniería en Seguridad Laboral  e Higiene Ambiental del Proyecto de Ley “</w:t>
            </w:r>
            <w:r w:rsidRPr="006B4FBB">
              <w:rPr>
                <w:rFonts w:ascii="Arial" w:hAnsi="Arial" w:cs="Arial"/>
                <w:lang w:val="es-CR"/>
              </w:rPr>
              <w:t>Fortalecimiento del Instituto Costarricense de Ferrocarriles (INCOFER) y Promoción del tren eléctrico INTER urbano de la gran Área Metropolitana”, Expediente No. 18.252.</w:t>
            </w:r>
          </w:p>
        </w:tc>
      </w:tr>
    </w:tbl>
    <w:p w:rsidR="006B4FBB" w:rsidRPr="006B4FBB" w:rsidRDefault="006B4FBB" w:rsidP="006B4FBB">
      <w:pPr>
        <w:ind w:left="360"/>
        <w:jc w:val="both"/>
        <w:rPr>
          <w:rFonts w:ascii="Arial" w:hAnsi="Arial" w:cs="Arial"/>
          <w:b/>
          <w:sz w:val="22"/>
          <w:szCs w:val="22"/>
          <w:lang w:val="es-CR"/>
        </w:rPr>
      </w:pPr>
    </w:p>
    <w:p w:rsidR="006B4FBB" w:rsidRPr="006B4FBB" w:rsidRDefault="006B4FBB" w:rsidP="006B4FBB">
      <w:pPr>
        <w:ind w:left="360"/>
        <w:jc w:val="both"/>
        <w:rPr>
          <w:rFonts w:ascii="Arial" w:hAnsi="Arial" w:cs="Arial"/>
          <w:b/>
          <w:sz w:val="22"/>
          <w:szCs w:val="22"/>
          <w:lang w:val="es-CR"/>
        </w:rPr>
      </w:pPr>
      <w:r w:rsidRPr="006B4FBB">
        <w:rPr>
          <w:rFonts w:ascii="Arial" w:hAnsi="Arial" w:cs="Arial"/>
          <w:b/>
          <w:sz w:val="22"/>
          <w:szCs w:val="22"/>
          <w:lang w:val="es-CR"/>
        </w:rPr>
        <w:t>Anexo 3</w:t>
      </w:r>
    </w:p>
    <w:p w:rsidR="006B4FBB" w:rsidRPr="006B4FBB" w:rsidRDefault="006B4FBB" w:rsidP="006B4FBB">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6B4FBB" w:rsidRPr="006B4FBB" w:rsidTr="004010C4">
        <w:tc>
          <w:tcPr>
            <w:tcW w:w="2334" w:type="dxa"/>
            <w:shd w:val="clear" w:color="auto" w:fill="auto"/>
          </w:tcPr>
          <w:p w:rsidR="006B4FBB" w:rsidRPr="006B4FBB" w:rsidRDefault="006B4FBB" w:rsidP="006B4FBB">
            <w:pPr>
              <w:jc w:val="center"/>
              <w:rPr>
                <w:rFonts w:ascii="Arial" w:hAnsi="Arial" w:cs="Arial"/>
                <w:sz w:val="22"/>
                <w:szCs w:val="22"/>
              </w:rPr>
            </w:pPr>
            <w:r w:rsidRPr="006B4FBB">
              <w:rPr>
                <w:rFonts w:ascii="Arial" w:hAnsi="Arial" w:cs="Arial"/>
                <w:sz w:val="22"/>
                <w:szCs w:val="22"/>
              </w:rPr>
              <w:t>Oficio</w:t>
            </w:r>
          </w:p>
        </w:tc>
        <w:tc>
          <w:tcPr>
            <w:tcW w:w="5977" w:type="dxa"/>
            <w:shd w:val="clear" w:color="auto" w:fill="auto"/>
          </w:tcPr>
          <w:p w:rsidR="006B4FBB" w:rsidRPr="006B4FBB" w:rsidRDefault="006B4FBB" w:rsidP="006B4FBB">
            <w:pPr>
              <w:jc w:val="center"/>
              <w:rPr>
                <w:rFonts w:ascii="Arial" w:hAnsi="Arial" w:cs="Arial"/>
                <w:sz w:val="22"/>
                <w:szCs w:val="22"/>
              </w:rPr>
            </w:pPr>
            <w:r w:rsidRPr="006B4FBB">
              <w:rPr>
                <w:rFonts w:ascii="Arial" w:hAnsi="Arial" w:cs="Arial"/>
                <w:sz w:val="22"/>
                <w:szCs w:val="22"/>
              </w:rPr>
              <w:t>Asunto</w:t>
            </w:r>
          </w:p>
        </w:tc>
      </w:tr>
      <w:tr w:rsidR="006B4FBB" w:rsidRPr="006B4FBB" w:rsidTr="004010C4">
        <w:tc>
          <w:tcPr>
            <w:tcW w:w="2334" w:type="dxa"/>
            <w:shd w:val="clear" w:color="auto" w:fill="auto"/>
          </w:tcPr>
          <w:p w:rsidR="006B4FBB" w:rsidRPr="006B4FBB" w:rsidRDefault="006B4FBB" w:rsidP="006B4FBB">
            <w:pPr>
              <w:jc w:val="both"/>
              <w:rPr>
                <w:rFonts w:ascii="Arial" w:hAnsi="Arial" w:cs="Arial"/>
                <w:sz w:val="22"/>
                <w:szCs w:val="22"/>
              </w:rPr>
            </w:pPr>
            <w:r w:rsidRPr="006B4FBB">
              <w:rPr>
                <w:rFonts w:ascii="Arial" w:hAnsi="Arial" w:cs="Arial"/>
                <w:sz w:val="22"/>
                <w:szCs w:val="22"/>
              </w:rPr>
              <w:t>SCI-237-2016, del 05 de mayo de 2016</w:t>
            </w:r>
          </w:p>
        </w:tc>
        <w:tc>
          <w:tcPr>
            <w:tcW w:w="5977" w:type="dxa"/>
            <w:shd w:val="clear" w:color="auto" w:fill="auto"/>
          </w:tcPr>
          <w:p w:rsidR="006B4FBB" w:rsidRPr="006B4FBB" w:rsidRDefault="006B4FBB" w:rsidP="006B4FBB">
            <w:pPr>
              <w:jc w:val="both"/>
              <w:rPr>
                <w:rFonts w:ascii="Arial" w:hAnsi="Arial" w:cs="Arial"/>
                <w:sz w:val="22"/>
                <w:szCs w:val="22"/>
                <w:lang w:val="es-CR"/>
              </w:rPr>
            </w:pPr>
            <w:r w:rsidRPr="006B4FBB">
              <w:rPr>
                <w:rFonts w:ascii="Arial" w:hAnsi="Arial" w:cs="Arial"/>
                <w:sz w:val="22"/>
                <w:szCs w:val="22"/>
              </w:rPr>
              <w:t xml:space="preserve">Solicitud de criterio </w:t>
            </w:r>
            <w:r w:rsidRPr="006B4FBB">
              <w:rPr>
                <w:rFonts w:ascii="Arial" w:eastAsia="Cambria" w:hAnsi="Arial" w:cs="Arial"/>
                <w:bCs/>
                <w:iCs/>
                <w:sz w:val="22"/>
                <w:szCs w:val="22"/>
                <w:lang w:val="es-ES_tradnl" w:eastAsia="en-US"/>
              </w:rPr>
              <w:t xml:space="preserve">a </w:t>
            </w:r>
            <w:proofErr w:type="gramStart"/>
            <w:r w:rsidRPr="006B4FBB">
              <w:rPr>
                <w:rFonts w:ascii="Arial" w:hAnsi="Arial" w:cs="Arial"/>
                <w:sz w:val="22"/>
                <w:szCs w:val="22"/>
              </w:rPr>
              <w:t>la  Escuela</w:t>
            </w:r>
            <w:proofErr w:type="gramEnd"/>
            <w:r w:rsidRPr="006B4FBB">
              <w:rPr>
                <w:rFonts w:ascii="Arial" w:hAnsi="Arial" w:cs="Arial"/>
                <w:sz w:val="22"/>
                <w:szCs w:val="22"/>
              </w:rPr>
              <w:t xml:space="preserve"> Química del Proyecto de Ley “</w:t>
            </w:r>
            <w:r w:rsidRPr="006B4FBB">
              <w:rPr>
                <w:rFonts w:ascii="Arial" w:hAnsi="Arial" w:cs="Arial"/>
                <w:lang w:val="es-CR"/>
              </w:rPr>
              <w:t>Fortalecimiento del Instituto Costarricense de Ferrocarriles (INCOFER) y Promoción del tren eléctrico INTER urbano de la gran Área Metropolitana”, Expediente No. 18.252.</w:t>
            </w:r>
          </w:p>
        </w:tc>
      </w:tr>
    </w:tbl>
    <w:p w:rsidR="006B4FBB" w:rsidRPr="006B4FBB" w:rsidRDefault="006B4FBB" w:rsidP="006B4FBB">
      <w:pPr>
        <w:jc w:val="both"/>
        <w:rPr>
          <w:rFonts w:ascii="Arial" w:hAnsi="Arial" w:cs="Arial"/>
          <w:b/>
          <w:sz w:val="22"/>
          <w:szCs w:val="22"/>
          <w:lang w:val="es-CR"/>
        </w:rPr>
      </w:pPr>
    </w:p>
    <w:p w:rsidR="006B4FBB" w:rsidRPr="006B4FBB" w:rsidRDefault="006B4FBB" w:rsidP="006B4FBB">
      <w:pPr>
        <w:ind w:left="360"/>
        <w:jc w:val="both"/>
        <w:rPr>
          <w:rFonts w:ascii="Arial" w:hAnsi="Arial" w:cs="Arial"/>
          <w:b/>
          <w:sz w:val="22"/>
          <w:szCs w:val="22"/>
          <w:lang w:val="es-CR"/>
        </w:rPr>
      </w:pPr>
      <w:r w:rsidRPr="006B4FBB">
        <w:rPr>
          <w:rFonts w:ascii="Arial" w:hAnsi="Arial" w:cs="Arial"/>
          <w:b/>
          <w:sz w:val="22"/>
          <w:szCs w:val="22"/>
          <w:lang w:val="es-CR"/>
        </w:rPr>
        <w:t>Anexo 4</w:t>
      </w:r>
    </w:p>
    <w:p w:rsidR="006B4FBB" w:rsidRPr="006B4FBB" w:rsidRDefault="006B4FBB" w:rsidP="006B4FBB">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6B4FBB" w:rsidRPr="006B4FBB" w:rsidTr="004010C4">
        <w:tc>
          <w:tcPr>
            <w:tcW w:w="2376" w:type="dxa"/>
            <w:shd w:val="clear" w:color="auto" w:fill="auto"/>
          </w:tcPr>
          <w:p w:rsidR="006B4FBB" w:rsidRPr="006B4FBB" w:rsidRDefault="006B4FBB" w:rsidP="006B4FBB">
            <w:pPr>
              <w:jc w:val="center"/>
              <w:rPr>
                <w:rFonts w:ascii="Arial" w:hAnsi="Arial" w:cs="Arial"/>
                <w:sz w:val="22"/>
                <w:szCs w:val="22"/>
              </w:rPr>
            </w:pPr>
            <w:r w:rsidRPr="006B4FBB">
              <w:rPr>
                <w:rFonts w:ascii="Arial" w:hAnsi="Arial" w:cs="Arial"/>
                <w:sz w:val="22"/>
                <w:szCs w:val="22"/>
              </w:rPr>
              <w:t>Oficio</w:t>
            </w:r>
          </w:p>
        </w:tc>
        <w:tc>
          <w:tcPr>
            <w:tcW w:w="5935" w:type="dxa"/>
            <w:shd w:val="clear" w:color="auto" w:fill="auto"/>
          </w:tcPr>
          <w:p w:rsidR="006B4FBB" w:rsidRPr="006B4FBB" w:rsidRDefault="006B4FBB" w:rsidP="006B4FBB">
            <w:pPr>
              <w:jc w:val="center"/>
              <w:rPr>
                <w:rFonts w:ascii="Arial" w:hAnsi="Arial" w:cs="Arial"/>
                <w:sz w:val="22"/>
                <w:szCs w:val="22"/>
              </w:rPr>
            </w:pPr>
            <w:r w:rsidRPr="006B4FBB">
              <w:rPr>
                <w:rFonts w:ascii="Arial" w:hAnsi="Arial" w:cs="Arial"/>
                <w:sz w:val="22"/>
                <w:szCs w:val="22"/>
              </w:rPr>
              <w:t>Asunto</w:t>
            </w:r>
          </w:p>
        </w:tc>
      </w:tr>
      <w:tr w:rsidR="006B4FBB" w:rsidRPr="006B4FBB" w:rsidTr="004010C4">
        <w:trPr>
          <w:trHeight w:val="2839"/>
        </w:trPr>
        <w:tc>
          <w:tcPr>
            <w:tcW w:w="2376" w:type="dxa"/>
            <w:shd w:val="clear" w:color="auto" w:fill="auto"/>
          </w:tcPr>
          <w:p w:rsidR="006B4FBB" w:rsidRPr="006B4FBB" w:rsidRDefault="006B4FBB" w:rsidP="006B4FBB">
            <w:pPr>
              <w:rPr>
                <w:rFonts w:ascii="Arial" w:hAnsi="Arial" w:cs="Arial"/>
                <w:sz w:val="22"/>
                <w:szCs w:val="22"/>
              </w:rPr>
            </w:pPr>
            <w:r w:rsidRPr="006B4FBB">
              <w:rPr>
                <w:rFonts w:ascii="Arial" w:hAnsi="Arial" w:cs="Arial"/>
                <w:sz w:val="22"/>
                <w:szCs w:val="22"/>
              </w:rPr>
              <w:t>CO-192-2016, del 31 de mayo de 2016</w:t>
            </w:r>
          </w:p>
        </w:tc>
        <w:tc>
          <w:tcPr>
            <w:tcW w:w="5935" w:type="dxa"/>
            <w:shd w:val="clear" w:color="auto" w:fill="auto"/>
          </w:tcPr>
          <w:p w:rsidR="006B4FBB" w:rsidRPr="006B4FBB" w:rsidRDefault="006B4FBB" w:rsidP="006B4FBB">
            <w:pPr>
              <w:jc w:val="both"/>
              <w:rPr>
                <w:rFonts w:ascii="Arial" w:hAnsi="Arial" w:cs="Arial"/>
                <w:sz w:val="22"/>
                <w:szCs w:val="22"/>
              </w:rPr>
            </w:pPr>
            <w:r w:rsidRPr="006B4FBB">
              <w:rPr>
                <w:rFonts w:ascii="Arial" w:hAnsi="Arial" w:cs="Arial"/>
                <w:sz w:val="22"/>
                <w:szCs w:val="22"/>
              </w:rPr>
              <w:t xml:space="preserve">Pronunciamiento de la Escuela de Construcción del Proyecto de </w:t>
            </w:r>
            <w:r w:rsidRPr="006B4FBB">
              <w:rPr>
                <w:rFonts w:ascii="Arial" w:eastAsia="Cambria" w:hAnsi="Arial" w:cs="Arial"/>
                <w:bCs/>
                <w:iCs/>
                <w:sz w:val="22"/>
                <w:szCs w:val="22"/>
                <w:lang w:val="es-ES_tradnl" w:eastAsia="en-US"/>
              </w:rPr>
              <w:t xml:space="preserve">Ley </w:t>
            </w:r>
            <w:r w:rsidRPr="006B4FBB">
              <w:rPr>
                <w:rFonts w:ascii="Arial" w:hAnsi="Arial" w:cs="Arial"/>
                <w:sz w:val="22"/>
                <w:szCs w:val="22"/>
              </w:rPr>
              <w:t>“</w:t>
            </w:r>
            <w:r w:rsidRPr="006B4FBB">
              <w:rPr>
                <w:rFonts w:ascii="Arial" w:hAnsi="Arial" w:cs="Arial"/>
                <w:lang w:val="es-CR"/>
              </w:rPr>
              <w:t>Fortalecimiento del Instituto Costarricense de Ferrocarriles (INCOFER) y Promoción del tren eléctrico INTER urbano de la gran Área Metropolitana”, Expediente No. 18.252</w:t>
            </w:r>
          </w:p>
          <w:p w:rsidR="006B4FBB" w:rsidRPr="006B4FBB" w:rsidRDefault="006B4FBB" w:rsidP="006B4FBB">
            <w:pPr>
              <w:jc w:val="both"/>
              <w:rPr>
                <w:rFonts w:ascii="Arial" w:hAnsi="Arial" w:cs="Arial"/>
                <w:sz w:val="22"/>
                <w:szCs w:val="22"/>
                <w:lang w:val="es-CR"/>
              </w:rPr>
            </w:pPr>
          </w:p>
          <w:p w:rsidR="006B4FBB" w:rsidRPr="006B4FBB" w:rsidRDefault="006B4FBB" w:rsidP="006B4FBB">
            <w:pPr>
              <w:jc w:val="both"/>
              <w:rPr>
                <w:rFonts w:ascii="Arial" w:hAnsi="Arial" w:cs="Arial"/>
                <w:sz w:val="22"/>
                <w:szCs w:val="22"/>
              </w:rPr>
            </w:pPr>
            <w:r w:rsidRPr="006B4FBB">
              <w:rPr>
                <w:rFonts w:ascii="Arial" w:hAnsi="Arial" w:cs="Arial"/>
                <w:sz w:val="22"/>
                <w:szCs w:val="22"/>
              </w:rPr>
              <w:t xml:space="preserve">Entre los argumentos expuestos en su oficio señala que en Costa Rica es urgente que los entes públicos, como lo son la Asamblea Legislativa, el Gobierno Central y los gobiernos locales, así como otros entes como el Instituto Costarricense de Ferrocarriles (INCOFER), tomen la </w:t>
            </w:r>
            <w:r w:rsidRPr="006B4FBB">
              <w:rPr>
                <w:rFonts w:ascii="Arial" w:hAnsi="Arial" w:cs="Arial"/>
                <w:sz w:val="22"/>
                <w:szCs w:val="22"/>
              </w:rPr>
              <w:lastRenderedPageBreak/>
              <w:t>iniciativa de modificar los diversos estatutos, códigos y leyes que tiene que ver con el ordenamiento del territorio dado que las mismas fueron promulgadas en tiempo y espacio muy diferente al actual.</w:t>
            </w:r>
          </w:p>
          <w:p w:rsidR="006B4FBB" w:rsidRPr="006B4FBB" w:rsidRDefault="006B4FBB" w:rsidP="006B4FBB">
            <w:pPr>
              <w:jc w:val="both"/>
              <w:rPr>
                <w:rFonts w:ascii="Arial" w:hAnsi="Arial" w:cs="Arial"/>
                <w:sz w:val="22"/>
                <w:szCs w:val="22"/>
              </w:rPr>
            </w:pPr>
          </w:p>
          <w:p w:rsidR="006B4FBB" w:rsidRPr="006B4FBB" w:rsidRDefault="006B4FBB" w:rsidP="006B4FBB">
            <w:pPr>
              <w:jc w:val="both"/>
              <w:rPr>
                <w:rFonts w:ascii="Arial" w:hAnsi="Arial" w:cs="Arial"/>
                <w:sz w:val="22"/>
                <w:szCs w:val="22"/>
              </w:rPr>
            </w:pPr>
            <w:r w:rsidRPr="006B4FBB">
              <w:rPr>
                <w:rFonts w:ascii="Arial" w:hAnsi="Arial" w:cs="Arial"/>
                <w:sz w:val="22"/>
                <w:szCs w:val="22"/>
              </w:rPr>
              <w:t>Recomiendan dar el apoyo a dicha gestión a fin que se dé su aprobación y gestión, y que contribuya al ordenamiento de territorio en el marco técnico y ambiental con visión país.</w:t>
            </w:r>
          </w:p>
        </w:tc>
      </w:tr>
    </w:tbl>
    <w:p w:rsidR="006B4FBB" w:rsidRPr="006B4FBB" w:rsidRDefault="006B4FBB" w:rsidP="006B4FBB">
      <w:pPr>
        <w:jc w:val="both"/>
        <w:rPr>
          <w:rFonts w:ascii="Arial" w:hAnsi="Arial" w:cs="Arial"/>
          <w:b/>
          <w:sz w:val="22"/>
          <w:szCs w:val="22"/>
          <w:lang w:val="es-CR"/>
        </w:rPr>
      </w:pPr>
    </w:p>
    <w:p w:rsidR="006B4FBB" w:rsidRPr="006B4FBB" w:rsidRDefault="006B4FBB" w:rsidP="006B4FBB">
      <w:pPr>
        <w:ind w:left="360"/>
        <w:jc w:val="both"/>
        <w:rPr>
          <w:rFonts w:ascii="Arial" w:hAnsi="Arial" w:cs="Arial"/>
          <w:b/>
          <w:sz w:val="22"/>
          <w:szCs w:val="22"/>
          <w:lang w:val="es-CR"/>
        </w:rPr>
      </w:pPr>
      <w:r w:rsidRPr="006B4FBB">
        <w:rPr>
          <w:rFonts w:ascii="Arial" w:hAnsi="Arial" w:cs="Arial"/>
          <w:b/>
          <w:sz w:val="22"/>
          <w:szCs w:val="22"/>
          <w:lang w:val="es-CR"/>
        </w:rPr>
        <w:t>Anexo 5</w:t>
      </w:r>
    </w:p>
    <w:p w:rsidR="006B4FBB" w:rsidRPr="006B4FBB" w:rsidRDefault="006B4FBB" w:rsidP="006B4FBB">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6B4FBB" w:rsidRPr="006B4FBB" w:rsidTr="004010C4">
        <w:tc>
          <w:tcPr>
            <w:tcW w:w="2376" w:type="dxa"/>
            <w:shd w:val="clear" w:color="auto" w:fill="auto"/>
          </w:tcPr>
          <w:p w:rsidR="006B4FBB" w:rsidRPr="006B4FBB" w:rsidRDefault="006B4FBB" w:rsidP="006B4FBB">
            <w:pPr>
              <w:jc w:val="center"/>
              <w:rPr>
                <w:rFonts w:ascii="Arial" w:hAnsi="Arial" w:cs="Arial"/>
                <w:sz w:val="22"/>
                <w:szCs w:val="22"/>
              </w:rPr>
            </w:pPr>
            <w:r w:rsidRPr="006B4FBB">
              <w:rPr>
                <w:rFonts w:ascii="Arial" w:hAnsi="Arial" w:cs="Arial"/>
                <w:sz w:val="22"/>
                <w:szCs w:val="22"/>
              </w:rPr>
              <w:t>Oficio</w:t>
            </w:r>
          </w:p>
        </w:tc>
        <w:tc>
          <w:tcPr>
            <w:tcW w:w="5935" w:type="dxa"/>
            <w:shd w:val="clear" w:color="auto" w:fill="auto"/>
          </w:tcPr>
          <w:p w:rsidR="006B4FBB" w:rsidRPr="006B4FBB" w:rsidRDefault="006B4FBB" w:rsidP="006B4FBB">
            <w:pPr>
              <w:jc w:val="center"/>
              <w:rPr>
                <w:rFonts w:ascii="Arial" w:hAnsi="Arial" w:cs="Arial"/>
                <w:sz w:val="22"/>
                <w:szCs w:val="22"/>
              </w:rPr>
            </w:pPr>
            <w:r w:rsidRPr="006B4FBB">
              <w:rPr>
                <w:rFonts w:ascii="Arial" w:hAnsi="Arial" w:cs="Arial"/>
                <w:sz w:val="22"/>
                <w:szCs w:val="22"/>
              </w:rPr>
              <w:t>Asunto</w:t>
            </w:r>
          </w:p>
        </w:tc>
      </w:tr>
      <w:tr w:rsidR="006B4FBB" w:rsidRPr="006B4FBB" w:rsidTr="004010C4">
        <w:trPr>
          <w:trHeight w:val="2839"/>
        </w:trPr>
        <w:tc>
          <w:tcPr>
            <w:tcW w:w="2376" w:type="dxa"/>
            <w:shd w:val="clear" w:color="auto" w:fill="auto"/>
          </w:tcPr>
          <w:p w:rsidR="006B4FBB" w:rsidRPr="006B4FBB" w:rsidRDefault="006B4FBB" w:rsidP="006B4FBB">
            <w:pPr>
              <w:rPr>
                <w:rFonts w:ascii="Arial" w:hAnsi="Arial" w:cs="Arial"/>
                <w:sz w:val="22"/>
                <w:szCs w:val="22"/>
              </w:rPr>
            </w:pPr>
            <w:r w:rsidRPr="006B4FBB">
              <w:rPr>
                <w:rFonts w:ascii="Arial" w:hAnsi="Arial" w:cs="Arial"/>
                <w:sz w:val="22"/>
                <w:szCs w:val="22"/>
              </w:rPr>
              <w:t>SCI-420-2016 del 26/07/2016</w:t>
            </w:r>
          </w:p>
        </w:tc>
        <w:tc>
          <w:tcPr>
            <w:tcW w:w="5935" w:type="dxa"/>
            <w:shd w:val="clear" w:color="auto" w:fill="auto"/>
          </w:tcPr>
          <w:p w:rsidR="006B4FBB" w:rsidRPr="006B4FBB" w:rsidRDefault="006B4FBB" w:rsidP="006B4FBB">
            <w:pPr>
              <w:jc w:val="both"/>
              <w:rPr>
                <w:rFonts w:ascii="Arial" w:hAnsi="Arial" w:cs="Arial"/>
                <w:sz w:val="22"/>
                <w:szCs w:val="22"/>
              </w:rPr>
            </w:pPr>
            <w:r w:rsidRPr="006B4FBB">
              <w:rPr>
                <w:rFonts w:ascii="Arial" w:hAnsi="Arial" w:cs="Arial"/>
                <w:sz w:val="22"/>
                <w:szCs w:val="22"/>
              </w:rPr>
              <w:t xml:space="preserve">Recordatorio a la Escuela de Química sobre el Pronunciamiento del Proyecto de </w:t>
            </w:r>
            <w:r w:rsidRPr="006B4FBB">
              <w:rPr>
                <w:rFonts w:ascii="Arial" w:eastAsia="Cambria" w:hAnsi="Arial" w:cs="Arial"/>
                <w:bCs/>
                <w:iCs/>
                <w:sz w:val="22"/>
                <w:szCs w:val="22"/>
                <w:lang w:val="es-ES_tradnl" w:eastAsia="en-US"/>
              </w:rPr>
              <w:t>Ley Marco del Derecho Humano a la Alimentación y de la Seguridad Alimentaria Nutricional”, Expediente No. 20.076</w:t>
            </w:r>
            <w:r w:rsidRPr="006B4FBB">
              <w:rPr>
                <w:rFonts w:ascii="Arial" w:hAnsi="Arial" w:cs="Arial"/>
                <w:sz w:val="22"/>
                <w:szCs w:val="22"/>
              </w:rPr>
              <w:t>.</w:t>
            </w:r>
          </w:p>
        </w:tc>
      </w:tr>
    </w:tbl>
    <w:p w:rsidR="006B4FBB" w:rsidRPr="006B4FBB" w:rsidRDefault="006B4FBB" w:rsidP="006B4FBB">
      <w:pPr>
        <w:jc w:val="both"/>
        <w:rPr>
          <w:rFonts w:ascii="Arial" w:hAnsi="Arial" w:cs="Arial"/>
          <w:b/>
          <w:sz w:val="22"/>
          <w:szCs w:val="22"/>
          <w:lang w:val="es-CR"/>
        </w:rPr>
      </w:pPr>
    </w:p>
    <w:p w:rsidR="006B4FBB" w:rsidRPr="006B4FBB" w:rsidRDefault="006B4FBB" w:rsidP="006B4FBB">
      <w:pPr>
        <w:ind w:left="360"/>
        <w:jc w:val="both"/>
        <w:rPr>
          <w:rFonts w:ascii="Arial" w:hAnsi="Arial" w:cs="Arial"/>
          <w:b/>
          <w:sz w:val="22"/>
          <w:szCs w:val="22"/>
          <w:lang w:val="es-CR"/>
        </w:rPr>
      </w:pPr>
      <w:r w:rsidRPr="006B4FBB">
        <w:rPr>
          <w:rFonts w:ascii="Arial" w:hAnsi="Arial" w:cs="Arial"/>
          <w:b/>
          <w:sz w:val="22"/>
          <w:szCs w:val="22"/>
          <w:lang w:val="es-CR"/>
        </w:rPr>
        <w:t>Anexo 6</w:t>
      </w:r>
    </w:p>
    <w:p w:rsidR="006B4FBB" w:rsidRPr="006B4FBB" w:rsidRDefault="006B4FBB" w:rsidP="006B4FBB">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6B4FBB" w:rsidRPr="006B4FBB" w:rsidTr="004010C4">
        <w:tc>
          <w:tcPr>
            <w:tcW w:w="2376" w:type="dxa"/>
            <w:shd w:val="clear" w:color="auto" w:fill="auto"/>
          </w:tcPr>
          <w:p w:rsidR="006B4FBB" w:rsidRPr="006B4FBB" w:rsidRDefault="006B4FBB" w:rsidP="006B4FBB">
            <w:pPr>
              <w:jc w:val="center"/>
              <w:rPr>
                <w:rFonts w:ascii="Arial" w:hAnsi="Arial" w:cs="Arial"/>
                <w:sz w:val="22"/>
                <w:szCs w:val="22"/>
              </w:rPr>
            </w:pPr>
            <w:r w:rsidRPr="006B4FBB">
              <w:rPr>
                <w:rFonts w:ascii="Arial" w:hAnsi="Arial" w:cs="Arial"/>
                <w:sz w:val="22"/>
                <w:szCs w:val="22"/>
              </w:rPr>
              <w:t>Oficio</w:t>
            </w:r>
          </w:p>
        </w:tc>
        <w:tc>
          <w:tcPr>
            <w:tcW w:w="5935" w:type="dxa"/>
            <w:shd w:val="clear" w:color="auto" w:fill="auto"/>
          </w:tcPr>
          <w:p w:rsidR="006B4FBB" w:rsidRPr="006B4FBB" w:rsidRDefault="006B4FBB" w:rsidP="006B4FBB">
            <w:pPr>
              <w:jc w:val="center"/>
              <w:rPr>
                <w:rFonts w:ascii="Arial" w:hAnsi="Arial" w:cs="Arial"/>
                <w:sz w:val="22"/>
                <w:szCs w:val="22"/>
              </w:rPr>
            </w:pPr>
            <w:r w:rsidRPr="006B4FBB">
              <w:rPr>
                <w:rFonts w:ascii="Arial" w:hAnsi="Arial" w:cs="Arial"/>
                <w:sz w:val="22"/>
                <w:szCs w:val="22"/>
              </w:rPr>
              <w:t>Asunto</w:t>
            </w:r>
          </w:p>
        </w:tc>
      </w:tr>
      <w:tr w:rsidR="006B4FBB" w:rsidRPr="006B4FBB" w:rsidTr="004010C4">
        <w:trPr>
          <w:trHeight w:val="2839"/>
        </w:trPr>
        <w:tc>
          <w:tcPr>
            <w:tcW w:w="2376" w:type="dxa"/>
            <w:shd w:val="clear" w:color="auto" w:fill="auto"/>
          </w:tcPr>
          <w:p w:rsidR="006B4FBB" w:rsidRPr="006B4FBB" w:rsidRDefault="006B4FBB" w:rsidP="006B4FBB">
            <w:pPr>
              <w:jc w:val="both"/>
              <w:rPr>
                <w:rFonts w:ascii="Arial" w:hAnsi="Arial" w:cs="Arial"/>
                <w:sz w:val="22"/>
                <w:szCs w:val="22"/>
              </w:rPr>
            </w:pPr>
            <w:r w:rsidRPr="006B4FBB">
              <w:rPr>
                <w:rFonts w:ascii="Arial" w:hAnsi="Arial" w:cs="Arial"/>
                <w:sz w:val="22"/>
                <w:szCs w:val="22"/>
              </w:rPr>
              <w:t>EQ-043-2017, del 14 febrero de 2017</w:t>
            </w:r>
          </w:p>
        </w:tc>
        <w:tc>
          <w:tcPr>
            <w:tcW w:w="5935" w:type="dxa"/>
            <w:shd w:val="clear" w:color="auto" w:fill="auto"/>
          </w:tcPr>
          <w:p w:rsidR="006B4FBB" w:rsidRPr="006B4FBB" w:rsidRDefault="006B4FBB" w:rsidP="006B4FBB">
            <w:pPr>
              <w:jc w:val="both"/>
              <w:rPr>
                <w:rFonts w:ascii="Arial" w:hAnsi="Arial" w:cs="Arial"/>
                <w:sz w:val="22"/>
                <w:szCs w:val="22"/>
              </w:rPr>
            </w:pPr>
            <w:r w:rsidRPr="006B4FBB">
              <w:rPr>
                <w:rFonts w:ascii="Arial" w:hAnsi="Arial" w:cs="Arial"/>
                <w:sz w:val="22"/>
                <w:szCs w:val="22"/>
              </w:rPr>
              <w:t>Pronunciamiento de la Escuela de Química sobre el Proyecto de Ley “Fortalecimiento del Instituto Costarricense de Ferrocarriles (INCOFER) y Promoción del tren eléctrico INTER urbano de la gran Área Metropolitana”, Expediente No. 18.252</w:t>
            </w:r>
          </w:p>
          <w:p w:rsidR="006B4FBB" w:rsidRPr="006B4FBB" w:rsidRDefault="006B4FBB" w:rsidP="006B4FBB">
            <w:pPr>
              <w:jc w:val="both"/>
              <w:rPr>
                <w:rFonts w:ascii="Arial" w:hAnsi="Arial" w:cs="Arial"/>
                <w:sz w:val="22"/>
                <w:szCs w:val="22"/>
              </w:rPr>
            </w:pPr>
          </w:p>
          <w:p w:rsidR="006B4FBB" w:rsidRPr="006B4FBB" w:rsidRDefault="006B4FBB" w:rsidP="006B4FBB">
            <w:pPr>
              <w:spacing w:after="160" w:line="259" w:lineRule="auto"/>
              <w:contextualSpacing/>
              <w:jc w:val="both"/>
              <w:rPr>
                <w:rFonts w:ascii="Arial" w:hAnsi="Arial" w:cs="Arial"/>
                <w:sz w:val="22"/>
                <w:szCs w:val="22"/>
              </w:rPr>
            </w:pPr>
            <w:r w:rsidRPr="006B4FBB">
              <w:rPr>
                <w:rFonts w:ascii="Arial" w:hAnsi="Arial" w:cs="Arial"/>
                <w:sz w:val="22"/>
                <w:szCs w:val="22"/>
              </w:rPr>
              <w:t>Entre las observaciones expuestas en su oficio, señalan las siguientes:</w:t>
            </w:r>
          </w:p>
          <w:p w:rsidR="006B4FBB" w:rsidRPr="006B4FBB" w:rsidRDefault="006B4FBB" w:rsidP="006B4FBB">
            <w:pPr>
              <w:ind w:left="720" w:hanging="369"/>
              <w:contextualSpacing/>
              <w:jc w:val="both"/>
              <w:rPr>
                <w:rFonts w:ascii="Arial" w:hAnsi="Arial" w:cs="Arial"/>
                <w:sz w:val="22"/>
                <w:szCs w:val="22"/>
                <w:lang w:val="es-MX"/>
              </w:rPr>
            </w:pPr>
            <w:proofErr w:type="gramStart"/>
            <w:r w:rsidRPr="006B4FBB">
              <w:rPr>
                <w:rFonts w:ascii="Arial" w:hAnsi="Arial" w:cs="Arial"/>
                <w:sz w:val="22"/>
                <w:szCs w:val="22"/>
                <w:lang w:val="es-MX"/>
              </w:rPr>
              <w:t>a</w:t>
            </w:r>
            <w:proofErr w:type="gramEnd"/>
            <w:r w:rsidRPr="006B4FBB">
              <w:rPr>
                <w:rFonts w:ascii="Arial" w:hAnsi="Arial" w:cs="Arial"/>
                <w:sz w:val="22"/>
                <w:szCs w:val="22"/>
                <w:lang w:val="es-MX"/>
              </w:rPr>
              <w:t>…</w:t>
            </w:r>
          </w:p>
          <w:p w:rsidR="006B4FBB" w:rsidRPr="006B4FBB" w:rsidRDefault="006B4FBB" w:rsidP="006B4FBB">
            <w:pPr>
              <w:autoSpaceDE w:val="0"/>
              <w:autoSpaceDN w:val="0"/>
              <w:adjustRightInd w:val="0"/>
              <w:rPr>
                <w:rFonts w:ascii="Arial" w:eastAsiaTheme="minorHAnsi" w:hAnsi="Arial" w:cs="Arial"/>
                <w:color w:val="000000"/>
                <w:lang w:val="es-CR" w:eastAsia="en-US"/>
              </w:rPr>
            </w:pPr>
          </w:p>
          <w:p w:rsidR="006B4FBB" w:rsidRPr="006B4FBB" w:rsidRDefault="006B4FBB" w:rsidP="006B4FBB">
            <w:pPr>
              <w:autoSpaceDE w:val="0"/>
              <w:autoSpaceDN w:val="0"/>
              <w:adjustRightInd w:val="0"/>
              <w:ind w:left="672" w:hanging="284"/>
              <w:jc w:val="both"/>
              <w:rPr>
                <w:rFonts w:ascii="Arial" w:hAnsi="Arial" w:cs="Arial"/>
                <w:sz w:val="22"/>
                <w:szCs w:val="22"/>
              </w:rPr>
            </w:pPr>
            <w:r w:rsidRPr="006B4FBB">
              <w:rPr>
                <w:rFonts w:ascii="Arial" w:hAnsi="Arial" w:cs="Arial"/>
                <w:sz w:val="22"/>
                <w:szCs w:val="22"/>
              </w:rPr>
              <w:t xml:space="preserve">f.  El Proyecto genera las siguientes dudas: </w:t>
            </w:r>
          </w:p>
          <w:p w:rsidR="006B4FBB" w:rsidRPr="006B4FBB" w:rsidRDefault="006B4FBB" w:rsidP="006B4FBB">
            <w:pPr>
              <w:autoSpaceDE w:val="0"/>
              <w:autoSpaceDN w:val="0"/>
              <w:adjustRightInd w:val="0"/>
              <w:spacing w:after="42"/>
              <w:ind w:left="672" w:hanging="142"/>
              <w:jc w:val="both"/>
              <w:rPr>
                <w:rFonts w:ascii="Arial" w:hAnsi="Arial" w:cs="Arial"/>
                <w:sz w:val="22"/>
                <w:szCs w:val="22"/>
              </w:rPr>
            </w:pPr>
            <w:r w:rsidRPr="006B4FBB">
              <w:rPr>
                <w:rFonts w:ascii="Arial" w:hAnsi="Arial" w:cs="Arial"/>
                <w:sz w:val="22"/>
                <w:szCs w:val="22"/>
              </w:rPr>
              <w:t xml:space="preserve">i. ¿Tienen los trenes TRAM propuestos suficiente capacidad para un relieve quebrado, o pierden potencia en pendientes, como ocurre actualmente en </w:t>
            </w:r>
            <w:proofErr w:type="spellStart"/>
            <w:r w:rsidRPr="006B4FBB">
              <w:rPr>
                <w:rFonts w:ascii="Arial" w:hAnsi="Arial" w:cs="Arial"/>
                <w:sz w:val="22"/>
                <w:szCs w:val="22"/>
              </w:rPr>
              <w:t>Ochomogo</w:t>
            </w:r>
            <w:proofErr w:type="spellEnd"/>
            <w:r w:rsidRPr="006B4FBB">
              <w:rPr>
                <w:rFonts w:ascii="Arial" w:hAnsi="Arial" w:cs="Arial"/>
                <w:sz w:val="22"/>
                <w:szCs w:val="22"/>
              </w:rPr>
              <w:t xml:space="preserve">? </w:t>
            </w:r>
          </w:p>
          <w:p w:rsidR="006B4FBB" w:rsidRPr="006B4FBB" w:rsidRDefault="006B4FBB" w:rsidP="006B4FBB">
            <w:pPr>
              <w:autoSpaceDE w:val="0"/>
              <w:autoSpaceDN w:val="0"/>
              <w:adjustRightInd w:val="0"/>
              <w:spacing w:after="42"/>
              <w:ind w:left="672" w:hanging="142"/>
              <w:jc w:val="both"/>
              <w:rPr>
                <w:rFonts w:ascii="Arial" w:hAnsi="Arial" w:cs="Arial"/>
                <w:sz w:val="22"/>
                <w:szCs w:val="22"/>
              </w:rPr>
            </w:pPr>
            <w:r w:rsidRPr="006B4FBB">
              <w:rPr>
                <w:rFonts w:ascii="Arial" w:hAnsi="Arial" w:cs="Arial"/>
                <w:sz w:val="22"/>
                <w:szCs w:val="22"/>
              </w:rPr>
              <w:t xml:space="preserve">ii. ¿Por qué no se propone un artículo para despolitizar el INCOFER? El Proyecto es técnico en sus aspiraciones, y las inversiones deberían ser realizadas desde esa perspectiva, y no desde una perspectiva política. </w:t>
            </w:r>
          </w:p>
          <w:p w:rsidR="006B4FBB" w:rsidRPr="006B4FBB" w:rsidRDefault="006B4FBB" w:rsidP="006B4FBB">
            <w:pPr>
              <w:autoSpaceDE w:val="0"/>
              <w:autoSpaceDN w:val="0"/>
              <w:adjustRightInd w:val="0"/>
              <w:spacing w:after="42"/>
              <w:ind w:left="672" w:hanging="142"/>
              <w:jc w:val="both"/>
              <w:rPr>
                <w:rFonts w:ascii="Arial" w:hAnsi="Arial" w:cs="Arial"/>
                <w:sz w:val="22"/>
                <w:szCs w:val="22"/>
              </w:rPr>
            </w:pPr>
            <w:r w:rsidRPr="006B4FBB">
              <w:rPr>
                <w:rFonts w:ascii="Arial" w:hAnsi="Arial" w:cs="Arial"/>
                <w:sz w:val="22"/>
                <w:szCs w:val="22"/>
              </w:rPr>
              <w:t xml:space="preserve">iii. ¿Habría una intención de privatizarlo luego, considerándolo como un operador dominante como </w:t>
            </w:r>
            <w:r w:rsidRPr="006B4FBB">
              <w:rPr>
                <w:rFonts w:ascii="Arial" w:hAnsi="Arial" w:cs="Arial"/>
                <w:sz w:val="22"/>
                <w:szCs w:val="22"/>
              </w:rPr>
              <w:lastRenderedPageBreak/>
              <w:t xml:space="preserve">ocurrió con el ICE en la Ley de Telecomunicaciones? </w:t>
            </w:r>
          </w:p>
          <w:p w:rsidR="006B4FBB" w:rsidRPr="006B4FBB" w:rsidRDefault="006B4FBB" w:rsidP="006B4FBB">
            <w:pPr>
              <w:autoSpaceDE w:val="0"/>
              <w:autoSpaceDN w:val="0"/>
              <w:adjustRightInd w:val="0"/>
              <w:ind w:left="672" w:hanging="142"/>
              <w:jc w:val="both"/>
              <w:rPr>
                <w:rFonts w:ascii="Arial" w:hAnsi="Arial" w:cs="Arial"/>
                <w:sz w:val="22"/>
                <w:szCs w:val="22"/>
              </w:rPr>
            </w:pPr>
            <w:r w:rsidRPr="006B4FBB">
              <w:rPr>
                <w:rFonts w:ascii="Arial" w:hAnsi="Arial" w:cs="Arial"/>
                <w:sz w:val="22"/>
                <w:szCs w:val="22"/>
              </w:rPr>
              <w:t xml:space="preserve">iv. ¿Por qué no buscar alternativas al endeudamiento? </w:t>
            </w:r>
          </w:p>
          <w:p w:rsidR="006B4FBB" w:rsidRPr="006B4FBB" w:rsidRDefault="006B4FBB" w:rsidP="006B4FBB">
            <w:pPr>
              <w:autoSpaceDE w:val="0"/>
              <w:autoSpaceDN w:val="0"/>
              <w:adjustRightInd w:val="0"/>
              <w:ind w:left="672" w:hanging="142"/>
              <w:jc w:val="both"/>
              <w:rPr>
                <w:rFonts w:ascii="Arial" w:hAnsi="Arial" w:cs="Arial"/>
                <w:sz w:val="22"/>
                <w:szCs w:val="22"/>
              </w:rPr>
            </w:pPr>
            <w:r w:rsidRPr="006B4FBB">
              <w:rPr>
                <w:rFonts w:ascii="Arial" w:hAnsi="Arial" w:cs="Arial"/>
                <w:sz w:val="22"/>
                <w:szCs w:val="22"/>
              </w:rPr>
              <w:t xml:space="preserve">Escuela de Química Tel: 2550-2229 </w:t>
            </w:r>
          </w:p>
          <w:p w:rsidR="006B4FBB" w:rsidRPr="006B4FBB" w:rsidRDefault="006B4FBB" w:rsidP="006B4FBB">
            <w:pPr>
              <w:autoSpaceDE w:val="0"/>
              <w:autoSpaceDN w:val="0"/>
              <w:adjustRightInd w:val="0"/>
              <w:spacing w:after="42"/>
              <w:ind w:left="813" w:hanging="283"/>
              <w:jc w:val="both"/>
              <w:rPr>
                <w:rFonts w:ascii="Arial" w:hAnsi="Arial" w:cs="Arial"/>
                <w:sz w:val="22"/>
                <w:szCs w:val="22"/>
              </w:rPr>
            </w:pPr>
            <w:r w:rsidRPr="006B4FBB">
              <w:rPr>
                <w:rFonts w:ascii="Arial" w:hAnsi="Arial" w:cs="Arial"/>
                <w:sz w:val="22"/>
                <w:szCs w:val="22"/>
              </w:rPr>
              <w:t xml:space="preserve">v. ¿Hay un estudio de mercado que estime el precio del servicio después de hechas las inversiones, o el Estado deberá subvencionar el costo del pasaje para no trasladarlo al usuario? </w:t>
            </w:r>
          </w:p>
          <w:p w:rsidR="006B4FBB" w:rsidRPr="006B4FBB" w:rsidRDefault="006B4FBB" w:rsidP="006B4FBB">
            <w:pPr>
              <w:autoSpaceDE w:val="0"/>
              <w:autoSpaceDN w:val="0"/>
              <w:adjustRightInd w:val="0"/>
              <w:spacing w:after="42"/>
              <w:ind w:left="813" w:hanging="283"/>
              <w:jc w:val="both"/>
              <w:rPr>
                <w:rFonts w:ascii="Arial" w:hAnsi="Arial" w:cs="Arial"/>
                <w:sz w:val="22"/>
                <w:szCs w:val="22"/>
              </w:rPr>
            </w:pPr>
            <w:r w:rsidRPr="006B4FBB">
              <w:rPr>
                <w:rFonts w:ascii="Arial" w:hAnsi="Arial" w:cs="Arial"/>
                <w:sz w:val="22"/>
                <w:szCs w:val="22"/>
              </w:rPr>
              <w:t xml:space="preserve">vi. ¿Cómo se nombraría el Consejo Directivo y cuáles serían sus funciones? </w:t>
            </w:r>
          </w:p>
          <w:p w:rsidR="006B4FBB" w:rsidRPr="006B4FBB" w:rsidRDefault="006B4FBB" w:rsidP="006B4FBB">
            <w:pPr>
              <w:autoSpaceDE w:val="0"/>
              <w:autoSpaceDN w:val="0"/>
              <w:adjustRightInd w:val="0"/>
              <w:ind w:left="813" w:hanging="283"/>
              <w:jc w:val="both"/>
              <w:rPr>
                <w:rFonts w:ascii="Arial" w:hAnsi="Arial" w:cs="Arial"/>
                <w:sz w:val="22"/>
                <w:szCs w:val="22"/>
              </w:rPr>
            </w:pPr>
            <w:r w:rsidRPr="006B4FBB">
              <w:rPr>
                <w:rFonts w:ascii="Arial" w:hAnsi="Arial" w:cs="Arial"/>
                <w:sz w:val="22"/>
                <w:szCs w:val="22"/>
              </w:rPr>
              <w:t>vii. ¿Por qué sacar al INCOFER del ámbito de la Autoridad Presupuestaria, si se establece la obligatoriedad de que el Ministerio de Hacienda gire los recursos?</w:t>
            </w:r>
          </w:p>
          <w:p w:rsidR="006B4FBB" w:rsidRPr="006B4FBB" w:rsidRDefault="006B4FBB" w:rsidP="006B4FBB">
            <w:pPr>
              <w:autoSpaceDE w:val="0"/>
              <w:autoSpaceDN w:val="0"/>
              <w:adjustRightInd w:val="0"/>
              <w:ind w:left="813" w:hanging="283"/>
              <w:jc w:val="both"/>
              <w:rPr>
                <w:rFonts w:ascii="Arial" w:hAnsi="Arial" w:cs="Arial"/>
                <w:sz w:val="22"/>
                <w:szCs w:val="22"/>
              </w:rPr>
            </w:pPr>
          </w:p>
          <w:p w:rsidR="006B4FBB" w:rsidRPr="006B4FBB" w:rsidRDefault="006B4FBB" w:rsidP="006B4FBB">
            <w:pPr>
              <w:autoSpaceDE w:val="0"/>
              <w:autoSpaceDN w:val="0"/>
              <w:adjustRightInd w:val="0"/>
              <w:spacing w:after="44"/>
              <w:jc w:val="both"/>
              <w:rPr>
                <w:rFonts w:ascii="Arial" w:hAnsi="Arial" w:cs="Arial"/>
                <w:sz w:val="22"/>
                <w:szCs w:val="22"/>
              </w:rPr>
            </w:pPr>
            <w:r w:rsidRPr="006B4FBB">
              <w:rPr>
                <w:rFonts w:ascii="Arial" w:hAnsi="Arial" w:cs="Arial"/>
                <w:sz w:val="22"/>
                <w:szCs w:val="22"/>
              </w:rPr>
              <w:t xml:space="preserve">Se recomienda técnicamente apoyar el Proyecto de Ley 18252 Fortalecimiento del Instituto Costarricense de Ferrocarriles (INCOFER) y Promoción del Tren Eléctrico Interurbano de la Gran Área Metropolitana, en el tanto sean aclaradas las observaciones hechas. </w:t>
            </w:r>
          </w:p>
        </w:tc>
      </w:tr>
    </w:tbl>
    <w:p w:rsidR="006B4FBB" w:rsidRPr="006B4FBB" w:rsidRDefault="006B4FBB" w:rsidP="006B4FBB">
      <w:pPr>
        <w:jc w:val="both"/>
        <w:rPr>
          <w:rFonts w:ascii="Arial" w:hAnsi="Arial" w:cs="Arial"/>
          <w:b/>
          <w:lang w:val="es-CR"/>
        </w:rPr>
      </w:pPr>
    </w:p>
    <w:p w:rsidR="006B4FBB" w:rsidRPr="006B4FBB" w:rsidRDefault="006B4FBB" w:rsidP="006B4FBB">
      <w:pPr>
        <w:jc w:val="both"/>
        <w:rPr>
          <w:rFonts w:ascii="Arial" w:hAnsi="Arial" w:cs="Arial"/>
          <w:b/>
          <w:lang w:val="es-CR"/>
        </w:rPr>
      </w:pPr>
    </w:p>
    <w:p w:rsidR="006B4FBB" w:rsidRPr="006B4FBB" w:rsidRDefault="006B4FBB" w:rsidP="006B4FBB">
      <w:pPr>
        <w:jc w:val="both"/>
        <w:rPr>
          <w:rFonts w:ascii="Arial" w:hAnsi="Arial" w:cs="Arial"/>
          <w:b/>
          <w:lang w:val="es-CR"/>
        </w:rPr>
      </w:pPr>
      <w:r w:rsidRPr="006B4FBB">
        <w:rPr>
          <w:rFonts w:ascii="Arial" w:hAnsi="Arial" w:cs="Arial"/>
          <w:b/>
          <w:lang w:val="es-CR"/>
        </w:rPr>
        <w:t>SE</w:t>
      </w:r>
      <w:r w:rsidR="002218DA">
        <w:rPr>
          <w:rFonts w:ascii="Arial" w:hAnsi="Arial" w:cs="Arial"/>
          <w:b/>
          <w:lang w:val="es-CR"/>
        </w:rPr>
        <w:t xml:space="preserve"> ACUERDA</w:t>
      </w:r>
      <w:r w:rsidRPr="006B4FBB">
        <w:rPr>
          <w:rFonts w:ascii="Arial" w:hAnsi="Arial" w:cs="Arial"/>
          <w:b/>
          <w:lang w:val="es-CR"/>
        </w:rPr>
        <w:t>:</w:t>
      </w:r>
    </w:p>
    <w:p w:rsidR="006B4FBB" w:rsidRPr="006B4FBB" w:rsidRDefault="006B4FBB" w:rsidP="006B4FBB">
      <w:pPr>
        <w:jc w:val="both"/>
        <w:rPr>
          <w:rFonts w:ascii="Arial" w:hAnsi="Arial" w:cs="Arial"/>
        </w:rPr>
      </w:pPr>
    </w:p>
    <w:p w:rsidR="006B4FBB" w:rsidRPr="006B4FBB" w:rsidRDefault="006B4FBB" w:rsidP="006B4FBB">
      <w:pPr>
        <w:numPr>
          <w:ilvl w:val="0"/>
          <w:numId w:val="21"/>
        </w:numPr>
        <w:ind w:left="426" w:hanging="426"/>
        <w:jc w:val="both"/>
        <w:rPr>
          <w:rFonts w:ascii="Arial" w:eastAsia="Cambria" w:hAnsi="Arial" w:cs="Arial"/>
          <w:lang w:eastAsia="en-US"/>
        </w:rPr>
      </w:pPr>
      <w:r w:rsidRPr="006B4FBB">
        <w:rPr>
          <w:rFonts w:ascii="Arial" w:eastAsia="Cambria" w:hAnsi="Arial" w:cs="Arial"/>
          <w:lang w:eastAsia="en-US"/>
        </w:rPr>
        <w:t xml:space="preserve">Apoyar el Proyecto de Ley “Fortalecimiento del Instituto Costarricense de Ferrocarriles (INCOFER) y Promoción del tren eléctrico INTER urbano de la gran Área Metropolitana”, Expediente No. 18.252, siempre que se consideren las recomendaciones emitidas por los entes consultados de esta Institución.  (Ver Anexos 4 y 6) </w:t>
      </w:r>
    </w:p>
    <w:p w:rsidR="006B4FBB" w:rsidRPr="006D0052" w:rsidRDefault="006B4FBB" w:rsidP="006B4FBB">
      <w:pPr>
        <w:jc w:val="both"/>
        <w:rPr>
          <w:rFonts w:ascii="Arial" w:eastAsia="Calibri" w:hAnsi="Arial" w:cs="Arial"/>
          <w:iCs/>
          <w:lang w:val="es-ES_tradnl"/>
        </w:rPr>
      </w:pPr>
    </w:p>
    <w:p w:rsidR="00CB682F" w:rsidRDefault="007742A1" w:rsidP="006B4FBB">
      <w:pPr>
        <w:numPr>
          <w:ilvl w:val="0"/>
          <w:numId w:val="21"/>
        </w:numPr>
        <w:ind w:left="426" w:hanging="426"/>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Pr="0026727D" w:rsidRDefault="0026727D" w:rsidP="0026727D">
      <w:pPr>
        <w:autoSpaceDE w:val="0"/>
        <w:autoSpaceDN w:val="0"/>
        <w:adjustRightInd w:val="0"/>
        <w:ind w:left="284"/>
        <w:jc w:val="both"/>
        <w:rPr>
          <w:rFonts w:ascii="Arial" w:hAnsi="Arial" w:cs="Arial"/>
          <w:b/>
          <w:lang w:val="es-CR"/>
        </w:rPr>
      </w:pPr>
    </w:p>
    <w:p w:rsidR="006B4FBB" w:rsidRPr="006B4FBB" w:rsidRDefault="006B4FBB" w:rsidP="006B4FBB">
      <w:pPr>
        <w:autoSpaceDE w:val="0"/>
        <w:autoSpaceDN w:val="0"/>
        <w:adjustRightInd w:val="0"/>
        <w:ind w:right="-91"/>
        <w:jc w:val="both"/>
        <w:rPr>
          <w:rFonts w:ascii="Arial" w:eastAsia="Cambria" w:hAnsi="Arial" w:cs="Arial"/>
          <w:b/>
          <w:lang w:val="es-CR" w:eastAsia="en-US"/>
        </w:rPr>
      </w:pPr>
      <w:r w:rsidRPr="006B4FBB">
        <w:rPr>
          <w:rFonts w:ascii="Arial" w:hAnsi="Arial" w:cs="Arial"/>
          <w:b/>
          <w:sz w:val="20"/>
          <w:szCs w:val="20"/>
          <w:lang w:val="es-CR"/>
        </w:rPr>
        <w:t xml:space="preserve">PALABRAS CLAVE:   Proyecto </w:t>
      </w:r>
      <w:r w:rsidRPr="006B4FBB">
        <w:rPr>
          <w:rFonts w:ascii="Arial" w:hAnsi="Arial" w:cs="Arial"/>
          <w:sz w:val="20"/>
          <w:szCs w:val="20"/>
          <w:lang w:val="es-CR"/>
        </w:rPr>
        <w:t xml:space="preserve">– </w:t>
      </w:r>
      <w:r w:rsidRPr="006B4FBB">
        <w:rPr>
          <w:rFonts w:ascii="Arial" w:hAnsi="Arial" w:cs="Arial"/>
          <w:b/>
          <w:sz w:val="22"/>
          <w:szCs w:val="22"/>
          <w:lang w:val="es-CR"/>
        </w:rPr>
        <w:t>Ley- Fortalecimiento-INCOFER-Promoción del Tren-Inter urbano</w:t>
      </w:r>
    </w:p>
    <w:p w:rsidR="006B4FBB" w:rsidRPr="006B4FBB" w:rsidRDefault="006B4FBB" w:rsidP="006B4FBB">
      <w:pPr>
        <w:jc w:val="both"/>
        <w:rPr>
          <w:rFonts w:ascii="Arial" w:eastAsia="Cambria" w:hAnsi="Arial" w:cs="Arial"/>
          <w:lang w:val="es-CR" w:eastAsia="en-US"/>
        </w:rPr>
      </w:pPr>
    </w:p>
    <w:p w:rsidR="00474B22" w:rsidRPr="006B4FBB" w:rsidRDefault="00474B22" w:rsidP="00474B22">
      <w:pPr>
        <w:spacing w:line="360" w:lineRule="auto"/>
        <w:jc w:val="both"/>
        <w:outlineLvl w:val="0"/>
        <w:rPr>
          <w:rFonts w:ascii="Arial" w:eastAsia="Cambria" w:hAnsi="Arial" w:cs="Arial"/>
          <w:sz w:val="18"/>
          <w:szCs w:val="18"/>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1E08C0" w:rsidRDefault="001E08C0" w:rsidP="00143E80">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Vicerrectoría de Administración </w:t>
            </w:r>
          </w:p>
          <w:p w:rsidR="006D0052" w:rsidRPr="00474B22" w:rsidRDefault="006D0052" w:rsidP="00143E80">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474B2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6D0052" w:rsidRPr="00474B2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OPI </w:t>
            </w:r>
          </w:p>
        </w:tc>
        <w:tc>
          <w:tcPr>
            <w:tcW w:w="4361" w:type="dxa"/>
          </w:tcPr>
          <w:p w:rsidR="006D0052" w:rsidRPr="00474B22" w:rsidRDefault="006D0052" w:rsidP="006D005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6D0052" w:rsidRPr="00474B22" w:rsidRDefault="006D0052" w:rsidP="006D005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6D0052" w:rsidRPr="00474B22" w:rsidRDefault="006D0052" w:rsidP="006D005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6D0052" w:rsidRPr="00474B22" w:rsidRDefault="006D0052" w:rsidP="006D005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6D0052" w:rsidRPr="00474B22" w:rsidRDefault="006D0052" w:rsidP="006D0052">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CB682F" w:rsidRDefault="002218DA" w:rsidP="00143E80">
            <w:pPr>
              <w:rPr>
                <w:rFonts w:ascii="Arial" w:eastAsia="Cambria" w:hAnsi="Arial" w:cs="Arial"/>
                <w:b/>
                <w:sz w:val="16"/>
                <w:szCs w:val="16"/>
                <w:lang w:val="es-CR" w:eastAsia="en-US"/>
              </w:rPr>
            </w:pPr>
            <w:r>
              <w:rPr>
                <w:rFonts w:ascii="Arial" w:eastAsia="Cambria" w:hAnsi="Arial" w:cs="Arial"/>
                <w:b/>
                <w:sz w:val="16"/>
                <w:szCs w:val="16"/>
                <w:lang w:val="es-CR" w:eastAsia="en-US"/>
              </w:rPr>
              <w:t>Ing. Gustavo Rojas, Director Escuela Ing. Construcción</w:t>
            </w:r>
          </w:p>
          <w:p w:rsidR="002218DA" w:rsidRPr="00474B22" w:rsidRDefault="002218DA" w:rsidP="00143E80">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Floria</w:t>
            </w:r>
            <w:proofErr w:type="spellEnd"/>
            <w:r>
              <w:rPr>
                <w:rFonts w:ascii="Arial" w:eastAsia="Cambria" w:hAnsi="Arial" w:cs="Arial"/>
                <w:b/>
                <w:sz w:val="16"/>
                <w:szCs w:val="16"/>
                <w:lang w:val="es-CR" w:eastAsia="en-US"/>
              </w:rPr>
              <w:t xml:space="preserve"> Roa, </w:t>
            </w:r>
            <w:proofErr w:type="spellStart"/>
            <w:r>
              <w:rPr>
                <w:rFonts w:ascii="Arial" w:eastAsia="Cambria" w:hAnsi="Arial" w:cs="Arial"/>
                <w:b/>
                <w:sz w:val="16"/>
                <w:szCs w:val="16"/>
                <w:lang w:val="es-CR" w:eastAsia="en-US"/>
              </w:rPr>
              <w:t>Ph.D</w:t>
            </w:r>
            <w:proofErr w:type="spellEnd"/>
            <w:r>
              <w:rPr>
                <w:rFonts w:ascii="Arial" w:eastAsia="Cambria" w:hAnsi="Arial" w:cs="Arial"/>
                <w:b/>
                <w:sz w:val="16"/>
                <w:szCs w:val="16"/>
                <w:lang w:val="es-CR" w:eastAsia="en-US"/>
              </w:rPr>
              <w:t>, Directora Escuela Química</w:t>
            </w:r>
            <w:bookmarkStart w:id="0" w:name="_GoBack"/>
            <w:bookmarkEnd w:id="0"/>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CF" w:rsidRDefault="00E37CCF">
      <w:r>
        <w:separator/>
      </w:r>
    </w:p>
  </w:endnote>
  <w:endnote w:type="continuationSeparator" w:id="0">
    <w:p w:rsidR="00E37CCF" w:rsidRDefault="00E3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CF" w:rsidRDefault="00E37CCF">
      <w:r>
        <w:separator/>
      </w:r>
    </w:p>
  </w:footnote>
  <w:footnote w:type="continuationSeparator" w:id="0">
    <w:p w:rsidR="00E37CCF" w:rsidRDefault="00E3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9733B4">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Artículo </w:t>
    </w:r>
    <w:r w:rsidR="006B4FBB">
      <w:rPr>
        <w:rFonts w:ascii="Arial" w:eastAsia="Cambria" w:hAnsi="Arial" w:cs="Arial"/>
        <w:i/>
        <w:sz w:val="18"/>
        <w:szCs w:val="18"/>
        <w:lang w:val="es-ES_tradnl" w:eastAsia="x-none"/>
      </w:rPr>
      <w:t>1</w:t>
    </w:r>
    <w:r w:rsidR="009733B4">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del </w:t>
    </w:r>
    <w:r w:rsidR="009733B4">
      <w:rPr>
        <w:rFonts w:ascii="Arial" w:eastAsia="Cambria" w:hAnsi="Arial" w:cs="Arial"/>
        <w:i/>
        <w:sz w:val="18"/>
        <w:szCs w:val="18"/>
        <w:lang w:val="es-ES_tradnl" w:eastAsia="x-none"/>
      </w:rPr>
      <w:t>01</w:t>
    </w:r>
    <w:r w:rsidR="006B4FBB">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 </w:t>
    </w:r>
    <w:r w:rsidR="009733B4">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218DA">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
  </w:num>
  <w:num w:numId="7">
    <w:abstractNumId w:val="1"/>
  </w:num>
  <w:num w:numId="8">
    <w:abstractNumId w:val="19"/>
  </w:num>
  <w:num w:numId="9">
    <w:abstractNumId w:val="18"/>
  </w:num>
  <w:num w:numId="10">
    <w:abstractNumId w:val="10"/>
  </w:num>
  <w:num w:numId="11">
    <w:abstractNumId w:val="15"/>
  </w:num>
  <w:num w:numId="12">
    <w:abstractNumId w:val="4"/>
  </w:num>
  <w:num w:numId="13">
    <w:abstractNumId w:val="12"/>
  </w:num>
  <w:num w:numId="14">
    <w:abstractNumId w:val="11"/>
  </w:num>
  <w:num w:numId="15">
    <w:abstractNumId w:val="13"/>
  </w:num>
  <w:num w:numId="16">
    <w:abstractNumId w:val="14"/>
  </w:num>
  <w:num w:numId="17">
    <w:abstractNumId w:val="2"/>
  </w:num>
  <w:num w:numId="18">
    <w:abstractNumId w:val="5"/>
  </w:num>
  <w:num w:numId="19">
    <w:abstractNumId w:val="8"/>
  </w:num>
  <w:num w:numId="20">
    <w:abstractNumId w:val="7"/>
  </w:num>
  <w:num w:numId="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18DA"/>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33B4"/>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D760F"/>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37CCF"/>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98E0B-2BE6-4D41-97B4-A43EEB98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46</cp:revision>
  <cp:lastPrinted>2016-11-23T19:32:00Z</cp:lastPrinted>
  <dcterms:created xsi:type="dcterms:W3CDTF">2016-10-05T20:00:00Z</dcterms:created>
  <dcterms:modified xsi:type="dcterms:W3CDTF">2017-03-01T21:44:00Z</dcterms:modified>
</cp:coreProperties>
</file>