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763AF2">
        <w:rPr>
          <w:rFonts w:ascii="Arial" w:hAnsi="Arial" w:cs="Arial"/>
          <w:b/>
          <w:bCs/>
          <w:iCs/>
          <w:sz w:val="26"/>
          <w:szCs w:val="22"/>
          <w:lang w:val="es-CR"/>
        </w:rPr>
        <w:t>273</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5D242A"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p>
    <w:p w:rsidR="007742A1" w:rsidRPr="00D958BC" w:rsidRDefault="00337455" w:rsidP="00337455">
      <w:pPr>
        <w:tabs>
          <w:tab w:val="left" w:pos="6612"/>
        </w:tabs>
        <w:rPr>
          <w:rFonts w:ascii="Cambria" w:eastAsia="Cambria" w:hAnsi="Cambria" w:cs="Arial"/>
          <w:bCs/>
          <w:iCs/>
          <w:sz w:val="16"/>
          <w:szCs w:val="16"/>
          <w:lang w:val="es-ES_tradnl" w:eastAsia="en-US"/>
        </w:rPr>
      </w:pPr>
      <w:r>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90700F" w:rsidRDefault="001E08C0"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Pr>
                <w:rFonts w:ascii="Arial" w:eastAsia="Cambria" w:hAnsi="Arial" w:cs="Arial"/>
                <w:sz w:val="22"/>
                <w:szCs w:val="22"/>
                <w:lang w:val="es-ES_tradnl" w:eastAsia="en-US"/>
              </w:rPr>
              <w:t>, Rector</w:t>
            </w:r>
            <w:r w:rsidR="00337455">
              <w:rPr>
                <w:rFonts w:ascii="Arial" w:eastAsia="Cambria" w:hAnsi="Arial" w:cs="Arial"/>
                <w:sz w:val="22"/>
                <w:szCs w:val="22"/>
                <w:lang w:val="es-ES_tradnl" w:eastAsia="en-US"/>
              </w:rPr>
              <w:t xml:space="preserve"> </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Vicerrector de Administración</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Vicerrector de Docencia</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Paola Vega, Vicerrectora de VIE</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Claudia Madrizova, Vicerrectora VIESA</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Edgardo Vargas, Director Sede Regional San Carlos</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Roberto Pereira, Director Centro Académico de Alajuela</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Roxana Calderón, Directora Centro Académico de Limón</w:t>
            </w:r>
          </w:p>
          <w:p w:rsidR="00763AF2" w:rsidRDefault="00763AF2"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Arq. Marlene Ilama, Directora Centro Académico de San José</w:t>
            </w:r>
          </w:p>
          <w:p w:rsidR="00763AF2" w:rsidRDefault="00763AF2" w:rsidP="00763AF2">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MAU</w:t>
            </w:r>
            <w:proofErr w:type="spellEnd"/>
            <w:r>
              <w:rPr>
                <w:rFonts w:ascii="Arial" w:eastAsia="Cambria" w:hAnsi="Arial" w:cs="Arial"/>
                <w:sz w:val="22"/>
                <w:szCs w:val="22"/>
                <w:lang w:val="es-ES_tradnl" w:eastAsia="en-US"/>
              </w:rPr>
              <w:t>. Tatiana Fernández, Directora Oficina Planificación Institucional</w:t>
            </w:r>
          </w:p>
          <w:p w:rsidR="00763AF2" w:rsidRPr="00763AF2" w:rsidRDefault="00763AF2" w:rsidP="00763AF2">
            <w:pPr>
              <w:jc w:val="both"/>
              <w:rPr>
                <w:rFonts w:ascii="Arial" w:eastAsia="Cambria" w:hAnsi="Arial" w:cs="Arial"/>
                <w:sz w:val="22"/>
                <w:szCs w:val="22"/>
                <w:lang w:val="es-ES_tradnl" w:eastAsia="en-US"/>
              </w:rPr>
            </w:pPr>
            <w:proofErr w:type="spellStart"/>
            <w:r w:rsidRPr="00763AF2">
              <w:rPr>
                <w:rFonts w:ascii="Arial" w:eastAsia="Cambria" w:hAnsi="Arial" w:cs="Arial"/>
                <w:sz w:val="22"/>
                <w:szCs w:val="22"/>
                <w:lang w:val="es-ES_tradnl" w:eastAsia="en-US"/>
              </w:rPr>
              <w:t>MBA</w:t>
            </w:r>
            <w:proofErr w:type="spellEnd"/>
            <w:r w:rsidRPr="00763AF2">
              <w:rPr>
                <w:rFonts w:ascii="Arial" w:eastAsia="Cambria" w:hAnsi="Arial" w:cs="Arial"/>
                <w:sz w:val="22"/>
                <w:szCs w:val="22"/>
                <w:lang w:val="es-ES_tradnl" w:eastAsia="en-US"/>
              </w:rPr>
              <w:t>. Harold Blanco, Director del Departamento de Recursos Humanos</w:t>
            </w:r>
          </w:p>
          <w:p w:rsidR="00763AF2" w:rsidRPr="00763AF2" w:rsidRDefault="00763AF2" w:rsidP="00763AF2">
            <w:pPr>
              <w:ind w:left="45"/>
              <w:jc w:val="both"/>
              <w:rPr>
                <w:rFonts w:ascii="Arial" w:eastAsia="Cambria" w:hAnsi="Arial" w:cs="Arial"/>
                <w:sz w:val="22"/>
                <w:szCs w:val="22"/>
                <w:lang w:val="es-ES_tradnl" w:eastAsia="en-US"/>
              </w:rPr>
            </w:pPr>
            <w:r w:rsidRPr="00763AF2">
              <w:rPr>
                <w:rFonts w:ascii="Arial" w:eastAsia="Cambria" w:hAnsi="Arial" w:cs="Arial"/>
                <w:sz w:val="22"/>
                <w:szCs w:val="22"/>
                <w:lang w:val="es-ES_tradnl" w:eastAsia="en-US"/>
              </w:rPr>
              <w:t xml:space="preserve">Ing. Alfredo Villarreal, Director </w:t>
            </w:r>
            <w:proofErr w:type="spellStart"/>
            <w:r w:rsidRPr="00763AF2">
              <w:rPr>
                <w:rFonts w:ascii="Arial" w:eastAsia="Cambria" w:hAnsi="Arial" w:cs="Arial"/>
                <w:sz w:val="22"/>
                <w:szCs w:val="22"/>
                <w:lang w:val="es-ES_tradnl" w:eastAsia="en-US"/>
              </w:rPr>
              <w:t>DATIC</w:t>
            </w:r>
            <w:proofErr w:type="spellEnd"/>
          </w:p>
          <w:p w:rsidR="00763AF2" w:rsidRPr="00763AF2" w:rsidRDefault="00763AF2" w:rsidP="00763AF2">
            <w:pPr>
              <w:jc w:val="both"/>
              <w:rPr>
                <w:rFonts w:ascii="Arial" w:eastAsia="Cambria" w:hAnsi="Arial" w:cs="Arial"/>
                <w:sz w:val="22"/>
                <w:szCs w:val="22"/>
                <w:lang w:val="es-ES_tradnl" w:eastAsia="en-US"/>
              </w:rPr>
            </w:pPr>
            <w:r w:rsidRPr="00763AF2">
              <w:rPr>
                <w:rFonts w:ascii="Arial" w:eastAsia="Cambria" w:hAnsi="Arial" w:cs="Arial"/>
                <w:sz w:val="22"/>
                <w:szCs w:val="22"/>
                <w:lang w:val="es-ES_tradnl" w:eastAsia="en-US"/>
              </w:rPr>
              <w:t>Ing. Saúl Fernández, Director de la Oficina de Ingeniería</w:t>
            </w:r>
          </w:p>
          <w:p w:rsidR="00763AF2" w:rsidRDefault="00763AF2" w:rsidP="00763AF2">
            <w:pPr>
              <w:jc w:val="both"/>
              <w:rPr>
                <w:rFonts w:ascii="Arial" w:eastAsia="Cambria" w:hAnsi="Arial" w:cs="Arial"/>
                <w:sz w:val="22"/>
                <w:szCs w:val="22"/>
                <w:lang w:val="es-ES_tradnl" w:eastAsia="en-US"/>
              </w:rPr>
            </w:pPr>
            <w:r w:rsidRPr="00763AF2">
              <w:rPr>
                <w:rFonts w:ascii="Arial" w:eastAsia="Cambria" w:hAnsi="Arial" w:cs="Arial"/>
                <w:sz w:val="22"/>
                <w:szCs w:val="22"/>
                <w:lang w:val="es-ES_tradnl" w:eastAsia="en-US"/>
              </w:rPr>
              <w:t>Ing. Manuel Centeno, Director del Departamento de Administración de Mantenimiento</w:t>
            </w:r>
          </w:p>
          <w:p w:rsidR="0064444E" w:rsidRPr="00763AF2" w:rsidRDefault="0064444E" w:rsidP="00763AF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Grettel Ortiz, Directora Oficina Asesoría Legal </w:t>
            </w:r>
          </w:p>
          <w:p w:rsidR="001F3E92" w:rsidRPr="006B4FBB" w:rsidRDefault="001F3E92" w:rsidP="000C25EB">
            <w:pPr>
              <w:ind w:left="45"/>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0C25EB" w:rsidP="001F3E9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10</w:t>
            </w:r>
            <w:r w:rsidR="00A772EF">
              <w:rPr>
                <w:rFonts w:ascii="Arial" w:eastAsia="Cambria" w:hAnsi="Arial" w:cs="Arial"/>
                <w:b/>
                <w:sz w:val="22"/>
                <w:szCs w:val="22"/>
                <w:lang w:val="es-ES_tradnl" w:eastAsia="en-US"/>
              </w:rPr>
              <w:t xml:space="preserve"> </w:t>
            </w:r>
            <w:r w:rsidR="007742A1" w:rsidRPr="00D958BC">
              <w:rPr>
                <w:rFonts w:ascii="Arial" w:eastAsia="Cambria" w:hAnsi="Arial" w:cs="Arial"/>
                <w:b/>
                <w:sz w:val="22"/>
                <w:szCs w:val="22"/>
                <w:lang w:val="es-ES_tradnl" w:eastAsia="en-US"/>
              </w:rPr>
              <w:t xml:space="preserve">de </w:t>
            </w:r>
            <w:r w:rsidR="001F3E92">
              <w:rPr>
                <w:rFonts w:ascii="Arial" w:eastAsia="Cambria" w:hAnsi="Arial" w:cs="Arial"/>
                <w:b/>
                <w:sz w:val="22"/>
                <w:szCs w:val="22"/>
                <w:lang w:val="es-ES_tradnl" w:eastAsia="en-US"/>
              </w:rPr>
              <w:t>mayo</w:t>
            </w:r>
            <w:r w:rsidR="007742A1" w:rsidRPr="00D958BC">
              <w:rPr>
                <w:rFonts w:ascii="Arial" w:eastAsia="Cambria" w:hAnsi="Arial" w:cs="Arial"/>
                <w:b/>
                <w:sz w:val="22"/>
                <w:szCs w:val="22"/>
                <w:lang w:val="es-ES_tradnl" w:eastAsia="en-US"/>
              </w:rPr>
              <w:t xml:space="preserve"> de 201</w:t>
            </w:r>
            <w:r w:rsidR="00A772EF">
              <w:rPr>
                <w:rFonts w:ascii="Arial" w:eastAsia="Cambria" w:hAnsi="Arial" w:cs="Arial"/>
                <w:b/>
                <w:sz w:val="22"/>
                <w:szCs w:val="22"/>
                <w:lang w:val="es-ES_tradnl" w:eastAsia="en-US"/>
              </w:rPr>
              <w:t>7</w:t>
            </w:r>
          </w:p>
        </w:tc>
      </w:tr>
      <w:tr w:rsidR="007742A1" w:rsidRPr="00D958BC" w:rsidTr="007742A1">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7742A1" w:rsidRPr="00D958BC"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DC4940" w:rsidRDefault="007742A1" w:rsidP="000C25EB">
            <w:pPr>
              <w:ind w:left="-74"/>
              <w:jc w:val="both"/>
              <w:rPr>
                <w:rFonts w:ascii="Arial" w:eastAsia="Calibri" w:hAnsi="Arial" w:cs="Arial"/>
                <w:b/>
                <w:sz w:val="22"/>
                <w:szCs w:val="22"/>
              </w:rPr>
            </w:pPr>
            <w:r w:rsidRPr="00D958BC">
              <w:rPr>
                <w:rFonts w:ascii="Arial" w:eastAsia="Calibri" w:hAnsi="Arial" w:cs="Arial"/>
                <w:b/>
                <w:sz w:val="22"/>
                <w:szCs w:val="22"/>
              </w:rPr>
              <w:t xml:space="preserve">Sesión Ordinaria No. </w:t>
            </w:r>
            <w:r w:rsidR="00337455">
              <w:rPr>
                <w:rFonts w:ascii="Arial" w:eastAsia="Calibri" w:hAnsi="Arial" w:cs="Arial"/>
                <w:b/>
                <w:sz w:val="22"/>
                <w:szCs w:val="22"/>
              </w:rPr>
              <w:t>30</w:t>
            </w:r>
            <w:r w:rsidR="001F3E92">
              <w:rPr>
                <w:rFonts w:ascii="Arial" w:eastAsia="Calibri" w:hAnsi="Arial" w:cs="Arial"/>
                <w:b/>
                <w:sz w:val="22"/>
                <w:szCs w:val="22"/>
              </w:rPr>
              <w:t>2</w:t>
            </w:r>
            <w:r w:rsidR="000C25EB">
              <w:rPr>
                <w:rFonts w:ascii="Arial" w:eastAsia="Calibri" w:hAnsi="Arial" w:cs="Arial"/>
                <w:b/>
                <w:sz w:val="22"/>
                <w:szCs w:val="22"/>
              </w:rPr>
              <w:t>1</w:t>
            </w:r>
            <w:r w:rsidRPr="00D958BC">
              <w:rPr>
                <w:rFonts w:ascii="Arial" w:eastAsia="Calibri" w:hAnsi="Arial" w:cs="Arial"/>
                <w:b/>
                <w:sz w:val="22"/>
                <w:szCs w:val="22"/>
              </w:rPr>
              <w:t>, Artículo</w:t>
            </w:r>
            <w:r w:rsidR="00437F0F">
              <w:rPr>
                <w:rFonts w:ascii="Arial" w:eastAsia="Calibri" w:hAnsi="Arial" w:cs="Arial"/>
                <w:b/>
                <w:sz w:val="22"/>
                <w:szCs w:val="22"/>
              </w:rPr>
              <w:t xml:space="preserve"> </w:t>
            </w:r>
            <w:r w:rsidR="001F3E92">
              <w:rPr>
                <w:rFonts w:ascii="Arial" w:eastAsia="Calibri" w:hAnsi="Arial" w:cs="Arial"/>
                <w:b/>
                <w:sz w:val="22"/>
                <w:szCs w:val="22"/>
              </w:rPr>
              <w:t>7</w:t>
            </w:r>
            <w:r w:rsidR="00337455">
              <w:rPr>
                <w:rFonts w:ascii="Arial" w:eastAsia="Calibri" w:hAnsi="Arial" w:cs="Arial"/>
                <w:b/>
                <w:sz w:val="22"/>
                <w:szCs w:val="22"/>
              </w:rPr>
              <w:t>,</w:t>
            </w:r>
            <w:r w:rsidRPr="00D958BC">
              <w:rPr>
                <w:rFonts w:ascii="Arial" w:eastAsia="Calibri" w:hAnsi="Arial" w:cs="Arial"/>
                <w:b/>
                <w:sz w:val="22"/>
                <w:szCs w:val="22"/>
              </w:rPr>
              <w:t xml:space="preserve"> del </w:t>
            </w:r>
            <w:r w:rsidR="000C25EB">
              <w:rPr>
                <w:rFonts w:ascii="Arial" w:eastAsia="Calibri" w:hAnsi="Arial" w:cs="Arial"/>
                <w:b/>
                <w:sz w:val="22"/>
                <w:szCs w:val="22"/>
              </w:rPr>
              <w:t>10</w:t>
            </w:r>
            <w:r w:rsidRPr="00D958BC">
              <w:rPr>
                <w:rFonts w:ascii="Arial" w:eastAsia="Calibri" w:hAnsi="Arial" w:cs="Arial"/>
                <w:b/>
                <w:sz w:val="22"/>
                <w:szCs w:val="22"/>
              </w:rPr>
              <w:t xml:space="preserve"> de </w:t>
            </w:r>
            <w:r w:rsidR="001F3E92">
              <w:rPr>
                <w:rFonts w:ascii="Arial" w:eastAsia="Calibri" w:hAnsi="Arial" w:cs="Arial"/>
                <w:b/>
                <w:sz w:val="22"/>
                <w:szCs w:val="22"/>
              </w:rPr>
              <w:t>mayo</w:t>
            </w:r>
            <w:r w:rsidR="007A2D73">
              <w:rPr>
                <w:rFonts w:ascii="Arial" w:eastAsia="Calibri" w:hAnsi="Arial" w:cs="Arial"/>
                <w:b/>
                <w:sz w:val="22"/>
                <w:szCs w:val="22"/>
              </w:rPr>
              <w:t xml:space="preserve"> </w:t>
            </w:r>
            <w:r w:rsidR="00A772EF">
              <w:rPr>
                <w:rFonts w:ascii="Arial" w:eastAsia="Calibri" w:hAnsi="Arial" w:cs="Arial"/>
                <w:b/>
                <w:sz w:val="22"/>
                <w:szCs w:val="22"/>
              </w:rPr>
              <w:t>de 2017</w:t>
            </w:r>
            <w:r w:rsidR="001E08C0">
              <w:rPr>
                <w:rFonts w:ascii="Arial" w:eastAsia="Calibri" w:hAnsi="Arial" w:cs="Arial"/>
                <w:b/>
                <w:sz w:val="22"/>
                <w:szCs w:val="22"/>
              </w:rPr>
              <w:t xml:space="preserve">.  </w:t>
            </w:r>
            <w:r w:rsidR="000C25EB">
              <w:rPr>
                <w:rFonts w:ascii="Arial" w:eastAsia="Calibri" w:hAnsi="Arial" w:cs="Arial"/>
                <w:b/>
                <w:sz w:val="22"/>
                <w:szCs w:val="22"/>
              </w:rPr>
              <w:t>Modificación del Artículo 10 del Reglamento del Proceso de Planificación Institucional del ITCR</w:t>
            </w:r>
          </w:p>
          <w:p w:rsidR="000C25EB" w:rsidRPr="00DC4940" w:rsidRDefault="000C25EB" w:rsidP="000C25EB">
            <w:pPr>
              <w:ind w:left="-74"/>
              <w:jc w:val="both"/>
              <w:rPr>
                <w:rFonts w:ascii="Arial" w:eastAsia="Cambria" w:hAnsi="Arial" w:cs="Arial"/>
                <w:b/>
                <w:sz w:val="22"/>
                <w:szCs w:val="22"/>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763AF2" w:rsidRDefault="00763AF2" w:rsidP="007742A1">
      <w:pPr>
        <w:jc w:val="both"/>
        <w:rPr>
          <w:rFonts w:ascii="Arial" w:eastAsia="Cambria" w:hAnsi="Arial" w:cs="Arial"/>
          <w:lang w:val="es-ES_tradnl" w:eastAsia="en-US"/>
        </w:rPr>
      </w:pPr>
    </w:p>
    <w:p w:rsidR="00763AF2" w:rsidRPr="00763AF2" w:rsidRDefault="00763AF2" w:rsidP="00763AF2">
      <w:pPr>
        <w:rPr>
          <w:rFonts w:ascii="Arial" w:eastAsia="Calibri" w:hAnsi="Arial" w:cs="Arial"/>
          <w:b/>
          <w:lang w:val="es-ES_tradnl"/>
        </w:rPr>
      </w:pPr>
      <w:r w:rsidRPr="00763AF2">
        <w:rPr>
          <w:rFonts w:ascii="Arial" w:eastAsia="Calibri" w:hAnsi="Arial" w:cs="Arial"/>
          <w:b/>
          <w:lang w:val="es-ES_tradnl"/>
        </w:rPr>
        <w:t xml:space="preserve">RESULTANDO QUE: </w:t>
      </w:r>
    </w:p>
    <w:p w:rsidR="00763AF2" w:rsidRPr="00763AF2" w:rsidRDefault="00763AF2" w:rsidP="00763AF2">
      <w:pPr>
        <w:rPr>
          <w:rFonts w:ascii="Arial" w:eastAsia="Calibri" w:hAnsi="Arial" w:cs="Arial"/>
          <w:b/>
          <w:lang w:val="es-ES_tradnl"/>
        </w:rPr>
      </w:pPr>
    </w:p>
    <w:p w:rsidR="00763AF2" w:rsidRPr="00763AF2" w:rsidRDefault="00763AF2" w:rsidP="00763AF2">
      <w:pPr>
        <w:numPr>
          <w:ilvl w:val="0"/>
          <w:numId w:val="34"/>
        </w:numPr>
        <w:tabs>
          <w:tab w:val="left" w:pos="426"/>
        </w:tabs>
        <w:ind w:left="426" w:right="-1" w:hanging="426"/>
        <w:contextualSpacing/>
        <w:jc w:val="both"/>
        <w:rPr>
          <w:rFonts w:ascii="Arial" w:eastAsia="Calibri" w:hAnsi="Arial" w:cs="Arial"/>
          <w:bCs/>
          <w:lang w:val="es-CR"/>
        </w:rPr>
      </w:pPr>
      <w:r w:rsidRPr="00763AF2">
        <w:rPr>
          <w:rFonts w:ascii="Arial" w:eastAsia="Calibri" w:hAnsi="Arial" w:cs="Arial"/>
          <w:bCs/>
          <w:lang w:val="es-CR"/>
        </w:rPr>
        <w:t>El inciso f del Artículo 18, del Estatuto Orgánico del ITCR, establece:</w:t>
      </w:r>
    </w:p>
    <w:p w:rsidR="00763AF2" w:rsidRPr="00763AF2" w:rsidRDefault="00763AF2" w:rsidP="00763AF2">
      <w:pPr>
        <w:ind w:left="284" w:right="-1"/>
        <w:contextualSpacing/>
        <w:jc w:val="both"/>
        <w:rPr>
          <w:rFonts w:ascii="Arial" w:eastAsia="Calibri" w:hAnsi="Arial" w:cs="Arial"/>
          <w:bCs/>
          <w:sz w:val="20"/>
          <w:szCs w:val="20"/>
          <w:lang w:val="es-CR"/>
        </w:rPr>
      </w:pPr>
    </w:p>
    <w:p w:rsidR="00763AF2" w:rsidRPr="00763AF2" w:rsidRDefault="00763AF2" w:rsidP="00763AF2">
      <w:pPr>
        <w:tabs>
          <w:tab w:val="left" w:pos="8505"/>
        </w:tabs>
        <w:ind w:left="851" w:right="476"/>
        <w:contextualSpacing/>
        <w:jc w:val="both"/>
        <w:rPr>
          <w:rFonts w:ascii="Arial" w:eastAsia="Calibri" w:hAnsi="Arial" w:cs="Arial"/>
          <w:bCs/>
          <w:i/>
          <w:sz w:val="22"/>
          <w:szCs w:val="22"/>
          <w:lang w:val="es-CR"/>
        </w:rPr>
      </w:pPr>
      <w:r w:rsidRPr="00763AF2">
        <w:rPr>
          <w:rFonts w:ascii="Arial" w:eastAsia="Calibri" w:hAnsi="Arial" w:cs="Arial"/>
          <w:bCs/>
          <w:i/>
          <w:sz w:val="22"/>
          <w:szCs w:val="22"/>
          <w:lang w:val="es-CR"/>
        </w:rPr>
        <w:t>“Son funciones del Consejo Institucional:</w:t>
      </w:r>
    </w:p>
    <w:p w:rsidR="00763AF2" w:rsidRPr="00763AF2" w:rsidRDefault="00763AF2" w:rsidP="00763AF2">
      <w:pPr>
        <w:tabs>
          <w:tab w:val="left" w:pos="8505"/>
        </w:tabs>
        <w:ind w:left="851" w:right="476"/>
        <w:jc w:val="both"/>
        <w:rPr>
          <w:rFonts w:ascii="Arial" w:hAnsi="Arial" w:cs="Arial"/>
          <w:bCs/>
          <w:i/>
          <w:sz w:val="22"/>
          <w:szCs w:val="22"/>
          <w:lang w:val="es-CR"/>
        </w:rPr>
      </w:pPr>
    </w:p>
    <w:p w:rsidR="00763AF2" w:rsidRPr="00763AF2" w:rsidRDefault="00763AF2" w:rsidP="00763AF2">
      <w:pPr>
        <w:tabs>
          <w:tab w:val="left" w:pos="8505"/>
        </w:tabs>
        <w:ind w:left="993" w:right="476" w:hanging="142"/>
        <w:jc w:val="both"/>
        <w:rPr>
          <w:rFonts w:ascii="Arial" w:hAnsi="Arial" w:cs="Arial"/>
          <w:i/>
          <w:sz w:val="22"/>
          <w:szCs w:val="22"/>
          <w:lang w:val="es-CR"/>
        </w:rPr>
      </w:pPr>
      <w:r w:rsidRPr="00763AF2">
        <w:rPr>
          <w:rFonts w:ascii="Arial" w:hAnsi="Arial" w:cs="Arial"/>
          <w:bCs/>
          <w:i/>
          <w:sz w:val="22"/>
          <w:szCs w:val="22"/>
          <w:lang w:val="es-CR"/>
        </w:rPr>
        <w:t xml:space="preserve">f. </w:t>
      </w:r>
      <w:r w:rsidRPr="00763AF2">
        <w:rPr>
          <w:rFonts w:ascii="Arial" w:hAnsi="Arial" w:cs="Arial"/>
          <w:i/>
          <w:sz w:val="22"/>
          <w:szCs w:val="22"/>
          <w:lang w:val="es-CR"/>
        </w:rPr>
        <w:t>Aprobar, promulgar y modificar los reglamentos generales necesarios para el funcionamiento del Instituto, así como los suyos propios, excepto aquellos que regulen el funcionamiento de la Asamblea Institucional Representativa y del Congreso Institucional.”</w:t>
      </w:r>
    </w:p>
    <w:p w:rsidR="00763AF2" w:rsidRPr="00763AF2" w:rsidRDefault="00763AF2" w:rsidP="00763AF2">
      <w:pPr>
        <w:ind w:left="709" w:hanging="142"/>
        <w:jc w:val="both"/>
        <w:rPr>
          <w:rFonts w:ascii="Arial" w:hAnsi="Arial" w:cs="Arial"/>
          <w:i/>
          <w:sz w:val="22"/>
          <w:szCs w:val="22"/>
          <w:lang w:val="es-CR"/>
        </w:rPr>
      </w:pPr>
    </w:p>
    <w:p w:rsidR="00763AF2" w:rsidRPr="00763AF2" w:rsidRDefault="00763AF2" w:rsidP="00763AF2">
      <w:pPr>
        <w:numPr>
          <w:ilvl w:val="0"/>
          <w:numId w:val="34"/>
        </w:numPr>
        <w:tabs>
          <w:tab w:val="left" w:pos="426"/>
        </w:tabs>
        <w:ind w:left="426" w:right="-1" w:hanging="426"/>
        <w:contextualSpacing/>
        <w:jc w:val="both"/>
        <w:rPr>
          <w:rFonts w:ascii="Arial" w:eastAsia="Cambria" w:hAnsi="Arial" w:cs="Arial"/>
          <w:lang w:val="es-ES_tradnl" w:eastAsia="en-US"/>
        </w:rPr>
      </w:pPr>
      <w:r w:rsidRPr="00763AF2">
        <w:rPr>
          <w:rFonts w:ascii="Arial" w:eastAsia="Cambria" w:hAnsi="Arial" w:cs="Arial"/>
          <w:lang w:val="es-ES_tradnl" w:eastAsia="en-US"/>
        </w:rPr>
        <w:t xml:space="preserve">El </w:t>
      </w:r>
      <w:r w:rsidRPr="00763AF2">
        <w:rPr>
          <w:rFonts w:ascii="Arial" w:eastAsia="Cambria" w:hAnsi="Arial" w:cs="Arial"/>
          <w:lang w:val="es-CR" w:eastAsia="en-US"/>
        </w:rPr>
        <w:t>Reglamento del Proceso de Planificación Institucional del Instituto Tecnológico de Costa Rica</w:t>
      </w:r>
      <w:r w:rsidRPr="00763AF2">
        <w:rPr>
          <w:rFonts w:ascii="Arial" w:eastAsia="Cambria" w:hAnsi="Arial" w:cs="Arial"/>
          <w:lang w:val="es-ES_tradnl" w:eastAsia="en-US"/>
        </w:rPr>
        <w:t>, aprobado por el Consejo Institucional, en Sesión No. 2963, Artículo 12, del 16 de marzo de 2016,  en su artículo 10, establece:</w:t>
      </w:r>
    </w:p>
    <w:p w:rsidR="00763AF2" w:rsidRPr="00763AF2" w:rsidRDefault="00763AF2" w:rsidP="00763AF2">
      <w:pPr>
        <w:ind w:left="1080" w:right="474"/>
        <w:jc w:val="both"/>
        <w:rPr>
          <w:rFonts w:ascii="Arial" w:eastAsia="Cambria" w:hAnsi="Arial" w:cs="Arial"/>
          <w:i/>
          <w:color w:val="000000" w:themeColor="text1"/>
          <w:sz w:val="20"/>
          <w:szCs w:val="20"/>
          <w:lang w:val="es-ES_tradnl" w:eastAsia="es-CR"/>
        </w:rPr>
      </w:pPr>
    </w:p>
    <w:p w:rsidR="00763AF2" w:rsidRPr="00763AF2" w:rsidRDefault="00763AF2" w:rsidP="0064444E">
      <w:pPr>
        <w:ind w:left="709" w:right="474"/>
        <w:jc w:val="both"/>
        <w:rPr>
          <w:rFonts w:ascii="Arial" w:eastAsia="Cambria" w:hAnsi="Arial" w:cs="Arial"/>
          <w:i/>
          <w:color w:val="000000" w:themeColor="text1"/>
          <w:sz w:val="22"/>
          <w:szCs w:val="22"/>
          <w:lang w:val="es-ES_tradnl" w:eastAsia="es-CR"/>
        </w:rPr>
      </w:pPr>
      <w:r w:rsidRPr="00763AF2">
        <w:rPr>
          <w:rFonts w:ascii="Arial" w:eastAsia="Cambria" w:hAnsi="Arial" w:cs="Arial"/>
          <w:i/>
          <w:color w:val="000000" w:themeColor="text1"/>
          <w:sz w:val="22"/>
          <w:szCs w:val="22"/>
          <w:lang w:val="es-ES_tradnl" w:eastAsia="es-CR"/>
        </w:rPr>
        <w:t xml:space="preserve"> “Artículo 10: Seguimiento y Evaluación  </w:t>
      </w:r>
    </w:p>
    <w:p w:rsidR="00763AF2" w:rsidRPr="00763AF2" w:rsidRDefault="00763AF2" w:rsidP="00763AF2">
      <w:pPr>
        <w:tabs>
          <w:tab w:val="left" w:pos="9214"/>
        </w:tabs>
        <w:ind w:left="709" w:right="474" w:hanging="14"/>
        <w:jc w:val="both"/>
        <w:rPr>
          <w:rFonts w:ascii="Arial" w:eastAsia="Cambria" w:hAnsi="Arial" w:cs="Arial"/>
          <w:i/>
          <w:color w:val="000000" w:themeColor="text1"/>
          <w:sz w:val="22"/>
          <w:szCs w:val="22"/>
          <w:lang w:val="es-CR" w:eastAsia="es-CR"/>
        </w:rPr>
      </w:pPr>
      <w:r w:rsidRPr="00763AF2">
        <w:rPr>
          <w:rFonts w:ascii="Arial" w:eastAsia="Cambria" w:hAnsi="Arial" w:cs="Arial"/>
          <w:i/>
          <w:color w:val="000000" w:themeColor="text1"/>
          <w:sz w:val="22"/>
          <w:szCs w:val="22"/>
          <w:lang w:val="es-CR" w:eastAsia="es-CR"/>
        </w:rPr>
        <w:tab/>
        <w:t>El seguimiento y la evaluación del proceso de Planificación Institucional, consistirá en la verificación del cumplimiento de los siguientes aspectos:</w:t>
      </w:r>
    </w:p>
    <w:p w:rsidR="00763AF2" w:rsidRPr="00763AF2" w:rsidRDefault="00763AF2" w:rsidP="00763AF2">
      <w:pPr>
        <w:tabs>
          <w:tab w:val="left" w:pos="9214"/>
        </w:tabs>
        <w:ind w:left="709" w:right="474" w:hanging="14"/>
        <w:jc w:val="both"/>
        <w:rPr>
          <w:rFonts w:ascii="Arial" w:eastAsia="Cambria" w:hAnsi="Arial" w:cs="Arial"/>
          <w:i/>
          <w:color w:val="000000" w:themeColor="text1"/>
          <w:sz w:val="22"/>
          <w:szCs w:val="22"/>
          <w:lang w:val="es-CR" w:eastAsia="es-CR"/>
        </w:rPr>
      </w:pPr>
    </w:p>
    <w:p w:rsidR="00763AF2" w:rsidRPr="00763AF2" w:rsidRDefault="00763AF2" w:rsidP="00763AF2">
      <w:pPr>
        <w:tabs>
          <w:tab w:val="left" w:pos="9214"/>
        </w:tabs>
        <w:ind w:left="993" w:right="474" w:hanging="298"/>
        <w:jc w:val="both"/>
        <w:rPr>
          <w:rFonts w:ascii="Arial" w:eastAsia="Cambria" w:hAnsi="Arial" w:cs="Arial"/>
          <w:i/>
          <w:color w:val="000000" w:themeColor="text1"/>
          <w:sz w:val="22"/>
          <w:szCs w:val="22"/>
          <w:lang w:val="es-CR" w:eastAsia="es-CR"/>
        </w:rPr>
      </w:pPr>
      <w:proofErr w:type="gramStart"/>
      <w:r w:rsidRPr="00763AF2">
        <w:rPr>
          <w:rFonts w:ascii="Arial" w:eastAsia="Cambria" w:hAnsi="Arial" w:cs="Arial"/>
          <w:i/>
          <w:color w:val="000000" w:themeColor="text1"/>
          <w:sz w:val="22"/>
          <w:szCs w:val="22"/>
          <w:lang w:val="es-CR" w:eastAsia="es-CR"/>
        </w:rPr>
        <w:t>a.</w:t>
      </w:r>
      <w:proofErr w:type="gramEnd"/>
      <w:r w:rsidRPr="00763AF2">
        <w:rPr>
          <w:rFonts w:ascii="Arial" w:eastAsia="Cambria" w:hAnsi="Arial" w:cs="Arial"/>
          <w:i/>
          <w:color w:val="000000" w:themeColor="text1"/>
          <w:sz w:val="22"/>
          <w:szCs w:val="22"/>
          <w:lang w:val="es-CR" w:eastAsia="es-CR"/>
        </w:rPr>
        <w:tab/>
        <w:t>…</w:t>
      </w:r>
    </w:p>
    <w:p w:rsidR="00763AF2" w:rsidRPr="00763AF2" w:rsidRDefault="00763AF2" w:rsidP="00763AF2">
      <w:pPr>
        <w:tabs>
          <w:tab w:val="left" w:pos="9214"/>
        </w:tabs>
        <w:ind w:left="993" w:right="474" w:hanging="298"/>
        <w:jc w:val="both"/>
        <w:rPr>
          <w:rFonts w:ascii="Arial" w:eastAsia="Cambria" w:hAnsi="Arial" w:cs="Arial"/>
          <w:i/>
          <w:color w:val="000000" w:themeColor="text1"/>
          <w:sz w:val="22"/>
          <w:szCs w:val="22"/>
          <w:lang w:val="es-CR" w:eastAsia="es-CR"/>
        </w:rPr>
      </w:pPr>
      <w:r w:rsidRPr="00763AF2">
        <w:rPr>
          <w:rFonts w:ascii="Arial" w:eastAsia="Cambria" w:hAnsi="Arial" w:cs="Arial"/>
          <w:i/>
          <w:color w:val="000000" w:themeColor="text1"/>
          <w:sz w:val="22"/>
          <w:szCs w:val="22"/>
          <w:lang w:val="es-CR" w:eastAsia="es-CR"/>
        </w:rPr>
        <w:t xml:space="preserve">b. Planes Tácticos: El seguimiento de los planes tácticos deberá ser realizado de manera trimestral por los responsables correspondientes, con el apoyo y direccionamiento técnico de la Oficina de Planificación Institucional. Estos deberán formular las acciones correctivas que se estimen necesarias para el cumplimiento de dichos planes, los cuales deberán ser presentadas al Rector, si estas no presentan cambios en el Plan Estratégico Institucional serán aprobadas por el Rector, caso contrario serán analizadas y aprobadas por el Consejo Institucional. </w:t>
      </w:r>
    </w:p>
    <w:p w:rsidR="00763AF2" w:rsidRPr="00763AF2" w:rsidRDefault="00763AF2" w:rsidP="00763AF2">
      <w:pPr>
        <w:tabs>
          <w:tab w:val="left" w:pos="9214"/>
        </w:tabs>
        <w:ind w:left="993" w:right="474" w:hanging="298"/>
        <w:jc w:val="both"/>
        <w:rPr>
          <w:rFonts w:ascii="Arial" w:eastAsia="Cambria" w:hAnsi="Arial" w:cs="Arial"/>
          <w:i/>
          <w:color w:val="000000" w:themeColor="text1"/>
          <w:sz w:val="22"/>
          <w:szCs w:val="22"/>
          <w:lang w:val="es-CR" w:eastAsia="es-CR"/>
        </w:rPr>
      </w:pPr>
      <w:r w:rsidRPr="00763AF2">
        <w:rPr>
          <w:rFonts w:ascii="Arial" w:eastAsia="Cambria" w:hAnsi="Arial" w:cs="Arial"/>
          <w:i/>
          <w:color w:val="000000" w:themeColor="text1"/>
          <w:sz w:val="22"/>
          <w:szCs w:val="22"/>
          <w:lang w:val="es-CR" w:eastAsia="es-CR"/>
        </w:rPr>
        <w:t>c. Plan Anual Operativo: Los responsables del seguimiento y evaluación del Plan Anual Operativo serán los encargados de cada programa, subprograma y demás dependencias adscritas, de acuerdo con el ámbito de su competencia, con el apoyo técnico de la Oficina de Planificación Institucional. La evaluación se realizará trimestralmente y se presentará un informe al Consejo de Rectoría para conocimiento y visto bueno de las posibles acciones correctivas. Se presentará semestralmente al Consejo Institucional el informe de evaluación para su conocimiento.”</w:t>
      </w:r>
    </w:p>
    <w:p w:rsidR="00763AF2" w:rsidRPr="00763AF2" w:rsidRDefault="00763AF2" w:rsidP="00763AF2">
      <w:pPr>
        <w:jc w:val="both"/>
        <w:outlineLvl w:val="0"/>
        <w:rPr>
          <w:rFonts w:ascii="Arial" w:eastAsia="Cambria" w:hAnsi="Arial" w:cs="Arial"/>
          <w:b/>
          <w:lang w:val="es-ES_tradnl" w:eastAsia="en-US"/>
        </w:rPr>
      </w:pPr>
    </w:p>
    <w:p w:rsidR="00763AF2" w:rsidRPr="00763AF2" w:rsidRDefault="00763AF2" w:rsidP="00763AF2">
      <w:pPr>
        <w:jc w:val="both"/>
        <w:outlineLvl w:val="0"/>
        <w:rPr>
          <w:rFonts w:ascii="Arial" w:eastAsia="Cambria" w:hAnsi="Arial" w:cs="Arial"/>
          <w:b/>
          <w:lang w:val="es-ES_tradnl" w:eastAsia="en-US"/>
        </w:rPr>
      </w:pPr>
      <w:r w:rsidRPr="00763AF2">
        <w:rPr>
          <w:rFonts w:ascii="Arial" w:eastAsia="Cambria" w:hAnsi="Arial" w:cs="Arial"/>
          <w:b/>
          <w:lang w:val="es-ES_tradnl" w:eastAsia="en-US"/>
        </w:rPr>
        <w:t>CONSIDERANDO QUE:</w:t>
      </w:r>
    </w:p>
    <w:p w:rsidR="00763AF2" w:rsidRPr="00763AF2" w:rsidRDefault="00763AF2" w:rsidP="00763AF2">
      <w:pPr>
        <w:jc w:val="both"/>
        <w:outlineLvl w:val="0"/>
        <w:rPr>
          <w:rFonts w:ascii="Arial" w:eastAsia="Cambria" w:hAnsi="Arial" w:cs="Arial"/>
          <w:b/>
          <w:sz w:val="16"/>
          <w:szCs w:val="16"/>
          <w:lang w:val="es-ES_tradnl" w:eastAsia="en-US"/>
        </w:rPr>
      </w:pPr>
    </w:p>
    <w:p w:rsidR="00763AF2" w:rsidRPr="00763AF2" w:rsidRDefault="00763AF2" w:rsidP="00763AF2">
      <w:pPr>
        <w:numPr>
          <w:ilvl w:val="0"/>
          <w:numId w:val="35"/>
        </w:numPr>
        <w:tabs>
          <w:tab w:val="left" w:pos="426"/>
        </w:tabs>
        <w:ind w:left="426" w:right="-1" w:hanging="426"/>
        <w:contextualSpacing/>
        <w:jc w:val="both"/>
        <w:rPr>
          <w:rFonts w:ascii="Arial" w:eastAsia="Cambria" w:hAnsi="Arial" w:cs="Arial"/>
          <w:lang w:val="es-ES_tradnl" w:eastAsia="en-US"/>
        </w:rPr>
      </w:pPr>
      <w:r w:rsidRPr="00763AF2">
        <w:rPr>
          <w:rFonts w:ascii="Arial" w:eastAsia="Cambria" w:hAnsi="Arial" w:cs="Arial"/>
          <w:lang w:val="es-ES_tradnl" w:eastAsia="en-US"/>
        </w:rPr>
        <w:t xml:space="preserve">La Secretaría del Consejo Institucional recibió el oficio OPI-232-2017, con fecha de recibido 02 de mayo de 2017, suscrito por la </w:t>
      </w:r>
      <w:proofErr w:type="spellStart"/>
      <w:r w:rsidRPr="00763AF2">
        <w:rPr>
          <w:rFonts w:ascii="Arial" w:eastAsia="Cambria" w:hAnsi="Arial" w:cs="Arial"/>
          <w:lang w:val="es-ES_tradnl" w:eastAsia="en-US"/>
        </w:rPr>
        <w:t>MAU</w:t>
      </w:r>
      <w:proofErr w:type="spellEnd"/>
      <w:r w:rsidRPr="00763AF2">
        <w:rPr>
          <w:rFonts w:ascii="Arial" w:eastAsia="Cambria" w:hAnsi="Arial" w:cs="Arial"/>
          <w:lang w:val="es-ES_tradnl" w:eastAsia="en-US"/>
        </w:rPr>
        <w:t xml:space="preserve">. Tatiana Fernández, Directora Ejecutiva de la Oficina de Planificación Institucional, dirigido al Ing. Alexander Valerín, Coordinador, Comisión de Planificación y Administración,  en el cual presenta modificación al Artículo 10, del Reglamento del Proceso de Planificación Institucional del ITCR.  </w:t>
      </w:r>
    </w:p>
    <w:p w:rsidR="00763AF2" w:rsidRPr="00763AF2" w:rsidRDefault="00763AF2" w:rsidP="00763AF2">
      <w:pPr>
        <w:tabs>
          <w:tab w:val="left" w:pos="426"/>
        </w:tabs>
        <w:ind w:right="-1"/>
        <w:contextualSpacing/>
        <w:jc w:val="both"/>
        <w:rPr>
          <w:rFonts w:ascii="Arial" w:eastAsia="Cambria" w:hAnsi="Arial" w:cs="Arial"/>
          <w:sz w:val="16"/>
          <w:szCs w:val="16"/>
          <w:lang w:val="es-ES_tradnl" w:eastAsia="en-US"/>
        </w:rPr>
      </w:pPr>
    </w:p>
    <w:p w:rsidR="00763AF2" w:rsidRPr="00763AF2" w:rsidRDefault="00763AF2" w:rsidP="00763AF2">
      <w:pPr>
        <w:numPr>
          <w:ilvl w:val="0"/>
          <w:numId w:val="35"/>
        </w:numPr>
        <w:tabs>
          <w:tab w:val="left" w:pos="426"/>
        </w:tabs>
        <w:ind w:left="426" w:right="-1" w:hanging="426"/>
        <w:contextualSpacing/>
        <w:jc w:val="both"/>
        <w:rPr>
          <w:rFonts w:ascii="Arial" w:hAnsi="Arial" w:cs="Arial"/>
        </w:rPr>
      </w:pPr>
      <w:r w:rsidRPr="00763AF2">
        <w:rPr>
          <w:rFonts w:ascii="Arial" w:hAnsi="Arial" w:cs="Arial"/>
          <w:lang w:val="es-ES_tradnl"/>
        </w:rPr>
        <w:t xml:space="preserve">La Comisión de Planificación y Administración, en la reunión No. 721-2017 del 08 de mayo de 2017, </w:t>
      </w:r>
      <w:r w:rsidRPr="00763AF2">
        <w:rPr>
          <w:rFonts w:ascii="Arial" w:hAnsi="Arial" w:cs="Arial"/>
        </w:rPr>
        <w:t xml:space="preserve">procede con el análisis de la propuesta remitida por la Oficina de Planificación Institucional, que detalla  lo siguiente: </w:t>
      </w:r>
    </w:p>
    <w:p w:rsidR="00763AF2" w:rsidRPr="00763AF2" w:rsidRDefault="00763AF2" w:rsidP="00763AF2">
      <w:pPr>
        <w:ind w:left="567" w:right="284"/>
        <w:jc w:val="both"/>
        <w:rPr>
          <w:rFonts w:ascii="Arial" w:eastAsia="Cambria" w:hAnsi="Arial" w:cs="Arial"/>
          <w:i/>
          <w:sz w:val="22"/>
          <w:szCs w:val="22"/>
          <w:lang w:val="es-CR" w:eastAsia="en-US"/>
        </w:rPr>
      </w:pPr>
    </w:p>
    <w:p w:rsidR="00763AF2" w:rsidRPr="00763AF2" w:rsidRDefault="00763AF2" w:rsidP="00763AF2">
      <w:pPr>
        <w:ind w:left="709" w:right="284"/>
        <w:jc w:val="both"/>
        <w:rPr>
          <w:rFonts w:ascii="Arial" w:eastAsia="Cambria" w:hAnsi="Arial" w:cs="Arial"/>
          <w:i/>
          <w:sz w:val="22"/>
          <w:szCs w:val="22"/>
          <w:lang w:val="es-CR" w:eastAsia="en-US"/>
        </w:rPr>
      </w:pPr>
      <w:r w:rsidRPr="00763AF2">
        <w:rPr>
          <w:rFonts w:ascii="Arial" w:eastAsia="Cambria" w:hAnsi="Arial" w:cs="Arial"/>
          <w:i/>
          <w:sz w:val="22"/>
          <w:szCs w:val="22"/>
          <w:lang w:val="es-CR" w:eastAsia="en-US"/>
        </w:rPr>
        <w:t xml:space="preserve">“…Considerando que el Consejo Institucional en la Sesión Ordinaria No. 2963, Artículo 12 del 16 de marzo de 2016.  Derogatoria de las Normas de Operación del Consejo de Planificación Institucional y aprobación del nuevo Reglamento del Proceso de Planificación Institucional del Instituto Tecnológico de Costa Rica, de conformidad con la modificación del Estatuto Orgánico, aprobada en la Sesión Ordinaria No. 2943, Artículo 11, del 21 de octubre de 2015 y </w:t>
      </w:r>
      <w:r w:rsidRPr="00763AF2">
        <w:rPr>
          <w:rFonts w:ascii="Arial" w:eastAsia="Cambria" w:hAnsi="Arial" w:cs="Arial"/>
          <w:b/>
          <w:i/>
          <w:sz w:val="22"/>
          <w:szCs w:val="22"/>
          <w:lang w:val="es-CR" w:eastAsia="en-US"/>
        </w:rPr>
        <w:t xml:space="preserve">en virtud del cumplimiento del mismo, es que la Oficina de Planificación Institucional ha discutido y analizado su implementación en pro de la mejora continua y el desarrollo de instrumentos de gestión que faciliten la labor de los responsables de las dependencias. </w:t>
      </w:r>
      <w:r w:rsidRPr="00763AF2">
        <w:rPr>
          <w:rFonts w:ascii="Arial" w:eastAsia="Cambria" w:hAnsi="Arial" w:cs="Arial"/>
          <w:i/>
          <w:sz w:val="22"/>
          <w:szCs w:val="22"/>
          <w:lang w:val="es-CR" w:eastAsia="en-US"/>
        </w:rPr>
        <w:t xml:space="preserve">Dado lo anterior se plantea la siguiente reforma: </w:t>
      </w:r>
    </w:p>
    <w:p w:rsidR="00763AF2" w:rsidRPr="00763AF2" w:rsidRDefault="00763AF2" w:rsidP="00763AF2">
      <w:pPr>
        <w:tabs>
          <w:tab w:val="left" w:pos="426"/>
        </w:tabs>
        <w:ind w:left="426" w:right="-1"/>
        <w:contextualSpacing/>
        <w:jc w:val="both"/>
        <w:rPr>
          <w:rFonts w:ascii="Arial" w:eastAsia="Cambria" w:hAnsi="Arial" w:cs="Arial"/>
          <w:lang w:val="es-ES_tradnl" w:eastAsia="en-US"/>
        </w:rPr>
      </w:pPr>
    </w:p>
    <w:tbl>
      <w:tblPr>
        <w:tblStyle w:val="Tablaconcuadrcula5"/>
        <w:tblW w:w="8788" w:type="dxa"/>
        <w:tblInd w:w="279" w:type="dxa"/>
        <w:tblLook w:val="04A0" w:firstRow="1" w:lastRow="0" w:firstColumn="1" w:lastColumn="0" w:noHBand="0" w:noVBand="1"/>
      </w:tblPr>
      <w:tblGrid>
        <w:gridCol w:w="4394"/>
        <w:gridCol w:w="4394"/>
      </w:tblGrid>
      <w:tr w:rsidR="00763AF2" w:rsidRPr="00763AF2" w:rsidTr="004A231B">
        <w:trPr>
          <w:trHeight w:val="627"/>
          <w:tblHeader/>
        </w:trPr>
        <w:tc>
          <w:tcPr>
            <w:tcW w:w="4394" w:type="dxa"/>
          </w:tcPr>
          <w:p w:rsidR="00763AF2" w:rsidRPr="00763AF2" w:rsidRDefault="00763AF2" w:rsidP="00763AF2">
            <w:pPr>
              <w:tabs>
                <w:tab w:val="center" w:pos="4419"/>
                <w:tab w:val="right" w:pos="8838"/>
              </w:tabs>
              <w:jc w:val="center"/>
              <w:rPr>
                <w:rFonts w:ascii="Arial" w:hAnsi="Arial"/>
                <w:b/>
                <w:i/>
                <w:sz w:val="22"/>
                <w:szCs w:val="22"/>
                <w:lang w:val="es-CR" w:eastAsia="en-US"/>
              </w:rPr>
            </w:pPr>
            <w:r w:rsidRPr="00763AF2">
              <w:rPr>
                <w:rFonts w:ascii="Arial" w:hAnsi="Arial" w:cs="Arial"/>
                <w:b/>
                <w:i/>
                <w:sz w:val="22"/>
                <w:szCs w:val="22"/>
                <w:lang w:val="es-ES_tradnl" w:eastAsia="en-US"/>
              </w:rPr>
              <w:t>Reglamento del Proceso de Planificación Institucional</w:t>
            </w:r>
          </w:p>
        </w:tc>
        <w:tc>
          <w:tcPr>
            <w:tcW w:w="4394" w:type="dxa"/>
          </w:tcPr>
          <w:p w:rsidR="00763AF2" w:rsidRPr="00763AF2" w:rsidRDefault="00763AF2" w:rsidP="00763AF2">
            <w:pPr>
              <w:tabs>
                <w:tab w:val="center" w:pos="4419"/>
                <w:tab w:val="right" w:pos="8838"/>
              </w:tabs>
              <w:jc w:val="center"/>
              <w:rPr>
                <w:rFonts w:ascii="Arial" w:hAnsi="Arial"/>
                <w:b/>
                <w:i/>
                <w:sz w:val="22"/>
                <w:szCs w:val="22"/>
                <w:lang w:val="es-CR" w:eastAsia="en-US"/>
              </w:rPr>
            </w:pPr>
            <w:r w:rsidRPr="00763AF2">
              <w:rPr>
                <w:rFonts w:ascii="Arial" w:hAnsi="Arial"/>
                <w:b/>
                <w:i/>
                <w:sz w:val="22"/>
                <w:szCs w:val="22"/>
                <w:lang w:val="es-CR" w:eastAsia="en-US"/>
              </w:rPr>
              <w:t xml:space="preserve">Propuesta Modificaciones al </w:t>
            </w:r>
            <w:r w:rsidRPr="00763AF2">
              <w:rPr>
                <w:rFonts w:ascii="Arial" w:hAnsi="Arial" w:cs="Arial"/>
                <w:b/>
                <w:i/>
                <w:sz w:val="22"/>
                <w:szCs w:val="22"/>
                <w:lang w:val="es-ES_tradnl" w:eastAsia="en-US"/>
              </w:rPr>
              <w:t>Reglamento del Proceso de Planificación Institucional</w:t>
            </w:r>
          </w:p>
        </w:tc>
      </w:tr>
      <w:tr w:rsidR="00763AF2" w:rsidRPr="00763AF2" w:rsidTr="004A231B">
        <w:trPr>
          <w:trHeight w:val="718"/>
        </w:trPr>
        <w:tc>
          <w:tcPr>
            <w:tcW w:w="4394" w:type="dxa"/>
          </w:tcPr>
          <w:p w:rsidR="00763AF2" w:rsidRPr="00763AF2" w:rsidRDefault="00763AF2" w:rsidP="00763AF2">
            <w:pPr>
              <w:tabs>
                <w:tab w:val="center" w:pos="4419"/>
                <w:tab w:val="right" w:pos="8838"/>
              </w:tabs>
              <w:ind w:left="175" w:hanging="175"/>
              <w:jc w:val="both"/>
              <w:rPr>
                <w:rFonts w:ascii="Arial" w:eastAsia="Calibri" w:hAnsi="Arial" w:cs="Arial"/>
                <w:b/>
                <w:i/>
                <w:sz w:val="22"/>
                <w:szCs w:val="22"/>
                <w:lang w:val="es-CR" w:eastAsia="en-US"/>
              </w:rPr>
            </w:pPr>
          </w:p>
          <w:p w:rsidR="00763AF2" w:rsidRPr="00763AF2" w:rsidRDefault="00763AF2" w:rsidP="00763AF2">
            <w:pPr>
              <w:tabs>
                <w:tab w:val="center" w:pos="4419"/>
                <w:tab w:val="right" w:pos="8838"/>
              </w:tabs>
              <w:ind w:left="175" w:hanging="175"/>
              <w:jc w:val="both"/>
              <w:rPr>
                <w:rFonts w:ascii="Arial" w:hAnsi="Arial" w:cs="Arial"/>
                <w:b/>
                <w:i/>
                <w:sz w:val="22"/>
                <w:szCs w:val="22"/>
                <w:lang w:val="es-CR" w:eastAsia="es-CR"/>
              </w:rPr>
            </w:pPr>
            <w:r w:rsidRPr="00763AF2">
              <w:rPr>
                <w:rFonts w:ascii="Arial" w:eastAsia="Calibri" w:hAnsi="Arial" w:cs="Arial"/>
                <w:b/>
                <w:i/>
                <w:sz w:val="22"/>
                <w:szCs w:val="22"/>
                <w:lang w:val="es-CR" w:eastAsia="en-US"/>
              </w:rPr>
              <w:t>Artículo</w:t>
            </w:r>
            <w:r w:rsidRPr="00763AF2">
              <w:rPr>
                <w:rFonts w:ascii="Arial" w:hAnsi="Arial" w:cs="Arial"/>
                <w:b/>
                <w:i/>
                <w:sz w:val="22"/>
                <w:szCs w:val="22"/>
                <w:lang w:val="es-CR" w:eastAsia="es-CR"/>
              </w:rPr>
              <w:t xml:space="preserve"> 10.  Seguimiento y evaluación</w:t>
            </w:r>
          </w:p>
          <w:p w:rsidR="00763AF2" w:rsidRPr="00763AF2" w:rsidRDefault="00763AF2" w:rsidP="00763AF2">
            <w:pPr>
              <w:tabs>
                <w:tab w:val="center" w:pos="4419"/>
                <w:tab w:val="right" w:pos="8838"/>
              </w:tabs>
              <w:ind w:left="175" w:hanging="175"/>
              <w:jc w:val="both"/>
              <w:rPr>
                <w:rFonts w:ascii="Arial" w:hAnsi="Arial"/>
                <w:i/>
                <w:sz w:val="22"/>
                <w:szCs w:val="22"/>
                <w:lang w:val="es-CR" w:eastAsia="en-US"/>
              </w:rPr>
            </w:pPr>
            <w:r w:rsidRPr="00763AF2">
              <w:rPr>
                <w:rFonts w:ascii="Arial" w:hAnsi="Arial"/>
                <w:i/>
                <w:sz w:val="22"/>
                <w:szCs w:val="22"/>
                <w:lang w:val="es-CR" w:eastAsia="en-US"/>
              </w:rPr>
              <w:t>El seguimiento y la evaluación del proceso de Planificación Institucional, consistirá en la verificación del cumplimiento de los siguientes aspectos:</w:t>
            </w:r>
          </w:p>
          <w:p w:rsidR="00763AF2" w:rsidRPr="00763AF2" w:rsidRDefault="00763AF2" w:rsidP="00763AF2">
            <w:pPr>
              <w:tabs>
                <w:tab w:val="center" w:pos="4419"/>
                <w:tab w:val="right" w:pos="8838"/>
              </w:tabs>
              <w:ind w:left="175" w:hanging="175"/>
              <w:jc w:val="both"/>
              <w:rPr>
                <w:rFonts w:ascii="Arial" w:hAnsi="Arial"/>
                <w:i/>
                <w:sz w:val="16"/>
                <w:szCs w:val="16"/>
                <w:lang w:val="es-CR" w:eastAsia="en-US"/>
              </w:rPr>
            </w:pPr>
          </w:p>
          <w:p w:rsidR="00763AF2" w:rsidRPr="00763AF2" w:rsidRDefault="00763AF2" w:rsidP="00763AF2">
            <w:pPr>
              <w:tabs>
                <w:tab w:val="center" w:pos="601"/>
                <w:tab w:val="right" w:pos="8838"/>
              </w:tabs>
              <w:ind w:left="175" w:hanging="175"/>
              <w:jc w:val="both"/>
              <w:rPr>
                <w:rFonts w:ascii="Arial" w:hAnsi="Arial"/>
                <w:i/>
                <w:sz w:val="22"/>
                <w:szCs w:val="22"/>
                <w:lang w:val="es-CR" w:eastAsia="en-US"/>
              </w:rPr>
            </w:pPr>
            <w:proofErr w:type="gramStart"/>
            <w:r w:rsidRPr="00763AF2">
              <w:rPr>
                <w:rFonts w:ascii="Arial" w:hAnsi="Arial"/>
                <w:i/>
                <w:sz w:val="22"/>
                <w:szCs w:val="22"/>
                <w:lang w:val="es-CR" w:eastAsia="en-US"/>
              </w:rPr>
              <w:lastRenderedPageBreak/>
              <w:t>a.</w:t>
            </w:r>
            <w:proofErr w:type="gramEnd"/>
            <w:r w:rsidRPr="00763AF2">
              <w:rPr>
                <w:rFonts w:ascii="Arial" w:hAnsi="Arial"/>
                <w:i/>
                <w:sz w:val="22"/>
                <w:szCs w:val="22"/>
                <w:lang w:val="es-CR" w:eastAsia="en-US"/>
              </w:rPr>
              <w:tab/>
              <w:t>…</w:t>
            </w:r>
          </w:p>
          <w:p w:rsidR="00763AF2" w:rsidRPr="00763AF2" w:rsidRDefault="00763AF2" w:rsidP="00763AF2">
            <w:pPr>
              <w:tabs>
                <w:tab w:val="center" w:pos="4419"/>
                <w:tab w:val="right" w:pos="8838"/>
              </w:tabs>
              <w:ind w:left="175" w:hanging="175"/>
              <w:jc w:val="both"/>
              <w:rPr>
                <w:rFonts w:ascii="Arial" w:hAnsi="Arial"/>
                <w:i/>
                <w:sz w:val="22"/>
                <w:szCs w:val="22"/>
                <w:lang w:val="es-CR" w:eastAsia="en-US"/>
              </w:rPr>
            </w:pPr>
            <w:r w:rsidRPr="00763AF2">
              <w:rPr>
                <w:rFonts w:ascii="Arial" w:hAnsi="Arial"/>
                <w:i/>
                <w:sz w:val="22"/>
                <w:szCs w:val="22"/>
                <w:lang w:val="es-CR" w:eastAsia="en-US"/>
              </w:rPr>
              <w:t>b.</w:t>
            </w:r>
            <w:r w:rsidRPr="00763AF2">
              <w:rPr>
                <w:rFonts w:ascii="Arial" w:hAnsi="Arial"/>
                <w:i/>
                <w:sz w:val="22"/>
                <w:szCs w:val="22"/>
                <w:lang w:val="es-CR" w:eastAsia="en-US"/>
              </w:rPr>
              <w:tab/>
              <w:t xml:space="preserve">Planes Tácticos: El seguimiento de los planes tácticos deberá ser realizado de manera trimestral por los responsables correspondientes, con el apoyo y direccionamiento técnico de la Oficina de Planificación Institucional. Estos deberán formular las acciones correctivas que se estimen necesarias para el cumplimiento de dichos planes, los cuales deberán ser presentadas al Rector, si estas no presentan cambios en el Plan Estratégico Institucional serán aprobadas por el Rector, caso contrario serán analizadas y aprobadas por el Consejo Institucional. </w:t>
            </w:r>
          </w:p>
          <w:p w:rsidR="00763AF2" w:rsidRPr="00763AF2" w:rsidRDefault="00763AF2" w:rsidP="00763AF2">
            <w:pPr>
              <w:tabs>
                <w:tab w:val="center" w:pos="4419"/>
                <w:tab w:val="right" w:pos="8838"/>
              </w:tabs>
              <w:ind w:left="175" w:hanging="175"/>
              <w:jc w:val="both"/>
              <w:rPr>
                <w:rFonts w:ascii="Arial" w:hAnsi="Arial"/>
                <w:i/>
                <w:sz w:val="22"/>
                <w:szCs w:val="22"/>
                <w:lang w:val="es-CR" w:eastAsia="en-US"/>
              </w:rPr>
            </w:pPr>
            <w:r w:rsidRPr="00763AF2">
              <w:rPr>
                <w:rFonts w:ascii="Arial" w:hAnsi="Arial"/>
                <w:i/>
                <w:sz w:val="22"/>
                <w:szCs w:val="22"/>
                <w:lang w:val="es-CR" w:eastAsia="en-US"/>
              </w:rPr>
              <w:t>c.</w:t>
            </w:r>
            <w:r w:rsidRPr="00763AF2">
              <w:rPr>
                <w:rFonts w:ascii="Arial" w:hAnsi="Arial"/>
                <w:i/>
                <w:sz w:val="22"/>
                <w:szCs w:val="22"/>
                <w:lang w:val="es-CR" w:eastAsia="en-US"/>
              </w:rPr>
              <w:tab/>
              <w:t>Plan Anual Operativo: Los responsables del seguimiento y evaluación del Plan Anual Operativo serán los encargados de cada programa, subprograma y demás dependencias adscritas, de acuerdo con el ámbito de su competencia, con el apoyo técnico de la Oficina de Planificación Institucional. La evaluación se realizará trimestralmente y se presentará un informe al Consejo de Rectoría para conocimiento y visto bueno de las posibles acciones correctivas. Se presentará semestralmente al Consejo Institucional el informe de evaluación para su conocimiento.</w:t>
            </w:r>
          </w:p>
        </w:tc>
        <w:tc>
          <w:tcPr>
            <w:tcW w:w="4394" w:type="dxa"/>
          </w:tcPr>
          <w:p w:rsidR="00763AF2" w:rsidRPr="00763AF2" w:rsidRDefault="00763AF2" w:rsidP="00763AF2">
            <w:pPr>
              <w:tabs>
                <w:tab w:val="center" w:pos="4419"/>
                <w:tab w:val="right" w:pos="8838"/>
              </w:tabs>
              <w:ind w:left="176" w:hanging="176"/>
              <w:jc w:val="both"/>
              <w:rPr>
                <w:rFonts w:ascii="Arial" w:eastAsia="Calibri" w:hAnsi="Arial" w:cs="Arial"/>
                <w:b/>
                <w:i/>
                <w:sz w:val="16"/>
                <w:szCs w:val="16"/>
                <w:lang w:val="es-CR" w:eastAsia="en-US"/>
              </w:rPr>
            </w:pPr>
          </w:p>
          <w:p w:rsidR="00763AF2" w:rsidRPr="00763AF2" w:rsidRDefault="00763AF2" w:rsidP="00763AF2">
            <w:pPr>
              <w:tabs>
                <w:tab w:val="center" w:pos="4419"/>
                <w:tab w:val="right" w:pos="8838"/>
              </w:tabs>
              <w:ind w:left="176" w:hanging="176"/>
              <w:jc w:val="both"/>
              <w:rPr>
                <w:rFonts w:ascii="Arial" w:hAnsi="Arial" w:cs="Arial"/>
                <w:b/>
                <w:i/>
                <w:sz w:val="22"/>
                <w:szCs w:val="22"/>
                <w:lang w:val="es-CR" w:eastAsia="es-CR"/>
              </w:rPr>
            </w:pPr>
            <w:r w:rsidRPr="00763AF2">
              <w:rPr>
                <w:rFonts w:ascii="Arial" w:eastAsia="Calibri" w:hAnsi="Arial" w:cs="Arial"/>
                <w:b/>
                <w:i/>
                <w:sz w:val="22"/>
                <w:szCs w:val="22"/>
                <w:lang w:val="es-CR" w:eastAsia="en-US"/>
              </w:rPr>
              <w:t>Artículo</w:t>
            </w:r>
            <w:r w:rsidRPr="00763AF2">
              <w:rPr>
                <w:rFonts w:ascii="Arial" w:hAnsi="Arial" w:cs="Arial"/>
                <w:b/>
                <w:i/>
                <w:sz w:val="22"/>
                <w:szCs w:val="22"/>
                <w:lang w:val="es-CR" w:eastAsia="es-CR"/>
              </w:rPr>
              <w:t xml:space="preserve"> 10.  Seguimiento y evaluación</w:t>
            </w:r>
          </w:p>
          <w:p w:rsidR="00763AF2" w:rsidRPr="00763AF2" w:rsidRDefault="00763AF2" w:rsidP="00763AF2">
            <w:pPr>
              <w:tabs>
                <w:tab w:val="center" w:pos="4419"/>
                <w:tab w:val="right" w:pos="8838"/>
              </w:tabs>
              <w:ind w:left="176" w:hanging="176"/>
              <w:jc w:val="both"/>
              <w:rPr>
                <w:rFonts w:ascii="Arial" w:hAnsi="Arial"/>
                <w:i/>
                <w:sz w:val="22"/>
                <w:szCs w:val="22"/>
                <w:lang w:val="es-CR" w:eastAsia="en-US"/>
              </w:rPr>
            </w:pPr>
            <w:r w:rsidRPr="00763AF2">
              <w:rPr>
                <w:rFonts w:ascii="Arial" w:hAnsi="Arial"/>
                <w:i/>
                <w:sz w:val="22"/>
                <w:szCs w:val="22"/>
                <w:lang w:val="es-CR" w:eastAsia="en-US"/>
              </w:rPr>
              <w:t>El seguimiento y la evaluación del proceso de Planificación Institucional, consistirá en la verificación del cumplimiento de los siguientes aspectos:</w:t>
            </w:r>
          </w:p>
          <w:p w:rsidR="00763AF2" w:rsidRPr="00763AF2" w:rsidRDefault="00763AF2" w:rsidP="00763AF2">
            <w:pPr>
              <w:tabs>
                <w:tab w:val="center" w:pos="4419"/>
                <w:tab w:val="right" w:pos="8838"/>
              </w:tabs>
              <w:ind w:left="176" w:hanging="176"/>
              <w:jc w:val="both"/>
              <w:rPr>
                <w:rFonts w:ascii="Arial" w:hAnsi="Arial"/>
                <w:i/>
                <w:sz w:val="16"/>
                <w:szCs w:val="16"/>
                <w:lang w:val="es-CR" w:eastAsia="en-US"/>
              </w:rPr>
            </w:pPr>
          </w:p>
          <w:p w:rsidR="00763AF2" w:rsidRPr="00763AF2" w:rsidRDefault="00763AF2" w:rsidP="00763AF2">
            <w:pPr>
              <w:tabs>
                <w:tab w:val="center" w:pos="459"/>
                <w:tab w:val="right" w:pos="8838"/>
              </w:tabs>
              <w:ind w:left="176" w:hanging="176"/>
              <w:jc w:val="both"/>
              <w:rPr>
                <w:rFonts w:ascii="Arial" w:hAnsi="Arial"/>
                <w:i/>
                <w:sz w:val="22"/>
                <w:szCs w:val="22"/>
                <w:lang w:val="es-CR" w:eastAsia="en-US"/>
              </w:rPr>
            </w:pPr>
            <w:proofErr w:type="gramStart"/>
            <w:r w:rsidRPr="00763AF2">
              <w:rPr>
                <w:rFonts w:ascii="Arial" w:hAnsi="Arial"/>
                <w:i/>
                <w:sz w:val="22"/>
                <w:szCs w:val="22"/>
                <w:lang w:val="es-CR" w:eastAsia="en-US"/>
              </w:rPr>
              <w:lastRenderedPageBreak/>
              <w:t>a.</w:t>
            </w:r>
            <w:proofErr w:type="gramEnd"/>
            <w:r w:rsidRPr="00763AF2">
              <w:rPr>
                <w:rFonts w:ascii="Arial" w:hAnsi="Arial"/>
                <w:i/>
                <w:sz w:val="22"/>
                <w:szCs w:val="22"/>
                <w:lang w:val="es-CR" w:eastAsia="en-US"/>
              </w:rPr>
              <w:tab/>
              <w:t>…</w:t>
            </w:r>
          </w:p>
          <w:p w:rsidR="00763AF2" w:rsidRPr="00763AF2" w:rsidRDefault="00763AF2" w:rsidP="00763AF2">
            <w:pPr>
              <w:tabs>
                <w:tab w:val="center" w:pos="4419"/>
                <w:tab w:val="right" w:pos="8838"/>
              </w:tabs>
              <w:ind w:left="176" w:hanging="176"/>
              <w:jc w:val="both"/>
              <w:rPr>
                <w:rFonts w:ascii="Arial" w:hAnsi="Arial"/>
                <w:i/>
                <w:sz w:val="22"/>
                <w:szCs w:val="22"/>
                <w:lang w:val="es-CR" w:eastAsia="en-US"/>
              </w:rPr>
            </w:pPr>
            <w:r w:rsidRPr="00763AF2">
              <w:rPr>
                <w:rFonts w:ascii="Arial" w:hAnsi="Arial"/>
                <w:i/>
                <w:sz w:val="22"/>
                <w:szCs w:val="22"/>
                <w:lang w:val="es-CR" w:eastAsia="en-US"/>
              </w:rPr>
              <w:t>b.</w:t>
            </w:r>
            <w:r w:rsidRPr="00763AF2">
              <w:rPr>
                <w:rFonts w:ascii="Arial" w:hAnsi="Arial"/>
                <w:i/>
                <w:sz w:val="22"/>
                <w:szCs w:val="22"/>
                <w:lang w:val="es-CR" w:eastAsia="en-US"/>
              </w:rPr>
              <w:tab/>
              <w:t xml:space="preserve">Planes Tácticos: El seguimiento de los planes tácticos deberá ser realizado de </w:t>
            </w:r>
            <w:r w:rsidRPr="00763AF2">
              <w:rPr>
                <w:rFonts w:ascii="Arial" w:hAnsi="Arial"/>
                <w:b/>
                <w:i/>
                <w:color w:val="0070C0"/>
                <w:sz w:val="22"/>
                <w:szCs w:val="22"/>
                <w:lang w:val="es-CR" w:eastAsia="en-US"/>
              </w:rPr>
              <w:t>manera semestral</w:t>
            </w:r>
            <w:r w:rsidRPr="00763AF2">
              <w:rPr>
                <w:rFonts w:ascii="Arial" w:hAnsi="Arial"/>
                <w:i/>
                <w:color w:val="0070C0"/>
                <w:sz w:val="22"/>
                <w:szCs w:val="22"/>
                <w:lang w:val="es-CR" w:eastAsia="en-US"/>
              </w:rPr>
              <w:t xml:space="preserve"> </w:t>
            </w:r>
            <w:r w:rsidRPr="00763AF2">
              <w:rPr>
                <w:rFonts w:ascii="Arial" w:hAnsi="Arial"/>
                <w:i/>
                <w:sz w:val="22"/>
                <w:szCs w:val="22"/>
                <w:lang w:val="es-CR" w:eastAsia="en-US"/>
              </w:rPr>
              <w:t xml:space="preserve">por los responsables correspondientes, con el apoyo y direccionamiento técnico de la Oficina de Planificación Institucional. Estos deberán formular las acciones correctivas que se estimen necesarias para el cumplimiento de dichos planes, los cuales deberán ser presentadas al Rector, si estas no presentan cambios en el Plan Estratégico Institucional serán aprobadas por el Rector, caso contrario serán analizadas y aprobadas por el Consejo Institucional. </w:t>
            </w:r>
          </w:p>
          <w:p w:rsidR="00763AF2" w:rsidRPr="00763AF2" w:rsidRDefault="00763AF2" w:rsidP="00763AF2">
            <w:pPr>
              <w:tabs>
                <w:tab w:val="center" w:pos="4419"/>
                <w:tab w:val="right" w:pos="8838"/>
              </w:tabs>
              <w:ind w:left="176" w:hanging="176"/>
              <w:jc w:val="both"/>
              <w:rPr>
                <w:rFonts w:ascii="Arial" w:hAnsi="Arial"/>
                <w:i/>
                <w:sz w:val="22"/>
                <w:szCs w:val="22"/>
                <w:lang w:val="es-CR" w:eastAsia="en-US"/>
              </w:rPr>
            </w:pPr>
          </w:p>
          <w:p w:rsidR="00763AF2" w:rsidRPr="00763AF2" w:rsidRDefault="00763AF2" w:rsidP="00763AF2">
            <w:pPr>
              <w:tabs>
                <w:tab w:val="center" w:pos="4419"/>
                <w:tab w:val="right" w:pos="8838"/>
              </w:tabs>
              <w:ind w:left="176" w:hanging="176"/>
              <w:jc w:val="both"/>
              <w:rPr>
                <w:rFonts w:ascii="Arial" w:hAnsi="Arial"/>
                <w:i/>
                <w:sz w:val="22"/>
                <w:szCs w:val="22"/>
                <w:lang w:val="es-CR" w:eastAsia="en-US"/>
              </w:rPr>
            </w:pPr>
            <w:r w:rsidRPr="00763AF2">
              <w:rPr>
                <w:rFonts w:ascii="Arial" w:hAnsi="Arial"/>
                <w:i/>
                <w:sz w:val="22"/>
                <w:szCs w:val="22"/>
                <w:lang w:val="es-CR" w:eastAsia="en-US"/>
              </w:rPr>
              <w:t>c.</w:t>
            </w:r>
            <w:r w:rsidRPr="00763AF2">
              <w:rPr>
                <w:rFonts w:ascii="Arial" w:hAnsi="Arial"/>
                <w:i/>
                <w:sz w:val="22"/>
                <w:szCs w:val="22"/>
                <w:lang w:val="es-CR" w:eastAsia="en-US"/>
              </w:rPr>
              <w:tab/>
              <w:t xml:space="preserve">Plan Anual Operativo: Los responsables del seguimiento y evaluación del Plan Anual Operativo serán los encargados de cada programa, subprograma y demás dependencias adscritas, de acuerdo con el ámbito de su competencia, con el apoyo técnico de la Oficina de Planificación Institucional. La evaluación se realizará </w:t>
            </w:r>
            <w:r w:rsidRPr="00763AF2">
              <w:rPr>
                <w:rFonts w:ascii="Arial" w:hAnsi="Arial"/>
                <w:b/>
                <w:i/>
                <w:color w:val="0070C0"/>
                <w:sz w:val="22"/>
                <w:szCs w:val="22"/>
                <w:lang w:val="es-CR" w:eastAsia="en-US"/>
              </w:rPr>
              <w:t xml:space="preserve">trimestralmente y se presentará un resumen de la evaluación al Consejo de Rectoría para conocimiento y establecimiento de las posibles acciones correctivas. </w:t>
            </w:r>
            <w:r w:rsidRPr="00763AF2">
              <w:rPr>
                <w:rFonts w:ascii="Arial" w:hAnsi="Arial"/>
                <w:i/>
                <w:sz w:val="22"/>
                <w:szCs w:val="22"/>
                <w:lang w:val="es-CR" w:eastAsia="en-US"/>
              </w:rPr>
              <w:t>Se presentará semestralmente al Consejo Institucional el informe de evaluación para su conocimiento.</w:t>
            </w:r>
          </w:p>
        </w:tc>
      </w:tr>
    </w:tbl>
    <w:p w:rsidR="00763AF2" w:rsidRPr="00763AF2" w:rsidRDefault="00763AF2" w:rsidP="00763AF2">
      <w:pPr>
        <w:tabs>
          <w:tab w:val="left" w:pos="426"/>
        </w:tabs>
        <w:ind w:left="426" w:right="-1"/>
        <w:contextualSpacing/>
        <w:jc w:val="both"/>
        <w:rPr>
          <w:rFonts w:ascii="Arial" w:eastAsia="Cambria" w:hAnsi="Arial" w:cs="Arial"/>
          <w:lang w:val="es-ES_tradnl" w:eastAsia="en-US"/>
        </w:rPr>
      </w:pPr>
    </w:p>
    <w:p w:rsidR="00763AF2" w:rsidRPr="00763AF2" w:rsidRDefault="00763AF2" w:rsidP="00763AF2">
      <w:pPr>
        <w:ind w:left="851" w:hanging="426"/>
        <w:jc w:val="both"/>
        <w:outlineLvl w:val="0"/>
        <w:rPr>
          <w:rFonts w:ascii="Arial" w:eastAsia="Cambria" w:hAnsi="Arial" w:cs="Arial"/>
          <w:sz w:val="22"/>
          <w:szCs w:val="22"/>
          <w:lang w:val="es-ES_tradnl" w:eastAsia="en-US"/>
        </w:rPr>
      </w:pPr>
    </w:p>
    <w:p w:rsidR="00763AF2" w:rsidRPr="00763AF2" w:rsidRDefault="00763AF2" w:rsidP="00763AF2">
      <w:pPr>
        <w:numPr>
          <w:ilvl w:val="0"/>
          <w:numId w:val="35"/>
        </w:numPr>
        <w:tabs>
          <w:tab w:val="left" w:pos="426"/>
        </w:tabs>
        <w:ind w:left="426" w:right="-1" w:hanging="426"/>
        <w:contextualSpacing/>
        <w:jc w:val="both"/>
        <w:rPr>
          <w:rFonts w:ascii="Arial" w:hAnsi="Arial" w:cs="Arial"/>
          <w:lang w:eastAsia="en-US"/>
        </w:rPr>
      </w:pPr>
      <w:r w:rsidRPr="00763AF2">
        <w:rPr>
          <w:rFonts w:ascii="Arial" w:eastAsia="Cambria" w:hAnsi="Arial" w:cs="Arial"/>
          <w:lang w:val="es-ES_tradnl" w:eastAsia="en-US"/>
        </w:rPr>
        <w:t>Del análisis realizado, la Comisión considera importante agregarle que al menos una vez al año los responsables de los Planes Tácticos presenten el respectivo informe de ejecución de dichos planes, para poder corroborar si se están cumpliendo los mismos y elevar la siguiente propuesta al Consejo</w:t>
      </w:r>
      <w:r w:rsidRPr="00763AF2">
        <w:rPr>
          <w:rFonts w:ascii="Arial" w:hAnsi="Arial" w:cs="Arial"/>
          <w:lang w:eastAsia="en-US"/>
        </w:rPr>
        <w:t xml:space="preserve"> Institucional.</w:t>
      </w:r>
    </w:p>
    <w:p w:rsidR="00763AF2" w:rsidRPr="00763AF2" w:rsidRDefault="00763AF2" w:rsidP="00763AF2">
      <w:pPr>
        <w:ind w:left="426" w:hanging="568"/>
        <w:jc w:val="both"/>
        <w:rPr>
          <w:rFonts w:ascii="Arial" w:eastAsia="Calibri" w:hAnsi="Arial" w:cs="Arial"/>
          <w:b/>
          <w:lang w:val="es-ES_tradnl"/>
        </w:rPr>
      </w:pPr>
    </w:p>
    <w:p w:rsidR="00763AF2" w:rsidRPr="00763AF2" w:rsidRDefault="00763AF2" w:rsidP="00763AF2">
      <w:pPr>
        <w:ind w:left="426" w:hanging="568"/>
        <w:jc w:val="both"/>
        <w:rPr>
          <w:rFonts w:ascii="Arial" w:eastAsia="Calibri" w:hAnsi="Arial" w:cs="Arial"/>
          <w:b/>
          <w:lang w:val="es-ES_tradnl"/>
        </w:rPr>
      </w:pPr>
      <w:r w:rsidRPr="00763AF2">
        <w:rPr>
          <w:rFonts w:ascii="Arial" w:eastAsia="Calibri" w:hAnsi="Arial" w:cs="Arial"/>
          <w:b/>
          <w:lang w:val="es-ES_tradnl"/>
        </w:rPr>
        <w:t>SE</w:t>
      </w:r>
      <w:r>
        <w:rPr>
          <w:rFonts w:ascii="Arial" w:eastAsia="Calibri" w:hAnsi="Arial" w:cs="Arial"/>
          <w:b/>
          <w:lang w:val="es-ES_tradnl"/>
        </w:rPr>
        <w:t xml:space="preserve"> ACUERDA</w:t>
      </w:r>
      <w:r w:rsidRPr="00763AF2">
        <w:rPr>
          <w:rFonts w:ascii="Arial" w:eastAsia="Calibri" w:hAnsi="Arial" w:cs="Arial"/>
          <w:b/>
          <w:lang w:val="es-ES_tradnl"/>
        </w:rPr>
        <w:t>:</w:t>
      </w:r>
    </w:p>
    <w:p w:rsidR="00763AF2" w:rsidRPr="00763AF2" w:rsidRDefault="00763AF2" w:rsidP="00763AF2">
      <w:pPr>
        <w:jc w:val="both"/>
        <w:rPr>
          <w:rFonts w:ascii="Arial" w:eastAsia="Calibri" w:hAnsi="Arial" w:cs="Arial"/>
          <w:b/>
          <w:sz w:val="28"/>
          <w:szCs w:val="28"/>
          <w:lang w:val="es-ES_tradnl"/>
        </w:rPr>
      </w:pPr>
    </w:p>
    <w:p w:rsidR="00763AF2" w:rsidRPr="00763AF2" w:rsidRDefault="00763AF2" w:rsidP="00763AF2">
      <w:pPr>
        <w:numPr>
          <w:ilvl w:val="0"/>
          <w:numId w:val="33"/>
        </w:numPr>
        <w:ind w:left="426" w:right="-91" w:hanging="426"/>
        <w:jc w:val="both"/>
        <w:rPr>
          <w:rFonts w:ascii="Arial" w:hAnsi="Arial" w:cs="Arial"/>
          <w:lang w:val="es-CR" w:eastAsia="es-CR"/>
        </w:rPr>
      </w:pPr>
      <w:r w:rsidRPr="00763AF2">
        <w:rPr>
          <w:rFonts w:ascii="Arial" w:hAnsi="Arial" w:cs="Arial"/>
          <w:lang w:val="es-CR" w:eastAsia="es-CR"/>
        </w:rPr>
        <w:t xml:space="preserve">Modificar el </w:t>
      </w:r>
      <w:r w:rsidRPr="00763AF2">
        <w:rPr>
          <w:rFonts w:ascii="Arial" w:eastAsia="Calibri" w:hAnsi="Arial" w:cs="Arial"/>
          <w:lang w:val="es-CR"/>
        </w:rPr>
        <w:t xml:space="preserve"> Artículo 10, del Reglamento del Proceso de Planificación Institucional del ITCR</w:t>
      </w:r>
      <w:r w:rsidRPr="00763AF2">
        <w:rPr>
          <w:rFonts w:ascii="Arial" w:hAnsi="Arial" w:cs="Arial"/>
          <w:lang w:val="es-CR" w:eastAsia="es-CR"/>
        </w:rPr>
        <w:t>, incisos b. y c., para que se lean de la siguiente manera</w:t>
      </w:r>
      <w:r w:rsidRPr="00763AF2">
        <w:rPr>
          <w:rFonts w:ascii="Arial" w:eastAsia="Calibri" w:hAnsi="Arial" w:cs="Arial"/>
          <w:bCs/>
        </w:rPr>
        <w:t>:</w:t>
      </w:r>
    </w:p>
    <w:p w:rsidR="00763AF2" w:rsidRPr="00763AF2" w:rsidRDefault="00763AF2" w:rsidP="00763AF2">
      <w:pPr>
        <w:ind w:left="788"/>
        <w:jc w:val="both"/>
        <w:rPr>
          <w:rFonts w:ascii="Arial" w:hAnsi="Arial" w:cs="Arial"/>
          <w:color w:val="404040" w:themeColor="text1" w:themeTint="BF"/>
        </w:rPr>
      </w:pPr>
    </w:p>
    <w:p w:rsidR="00763AF2" w:rsidRPr="00763AF2" w:rsidRDefault="00763AF2" w:rsidP="00763AF2">
      <w:pPr>
        <w:ind w:left="788"/>
        <w:jc w:val="both"/>
        <w:rPr>
          <w:rFonts w:ascii="Arial" w:hAnsi="Arial" w:cs="Arial"/>
          <w:b/>
          <w:lang w:val="es-CR" w:eastAsia="es-CR"/>
        </w:rPr>
      </w:pPr>
      <w:r w:rsidRPr="00763AF2">
        <w:rPr>
          <w:rFonts w:ascii="Arial" w:hAnsi="Arial" w:cs="Arial"/>
        </w:rPr>
        <w:t>“</w:t>
      </w:r>
      <w:r w:rsidRPr="00763AF2">
        <w:rPr>
          <w:rFonts w:ascii="Arial" w:eastAsia="Calibri" w:hAnsi="Arial" w:cs="Arial"/>
          <w:b/>
          <w:lang w:val="es-CR"/>
        </w:rPr>
        <w:t>Artículo</w:t>
      </w:r>
      <w:r w:rsidRPr="00763AF2">
        <w:rPr>
          <w:rFonts w:ascii="Arial" w:hAnsi="Arial" w:cs="Arial"/>
          <w:b/>
          <w:lang w:val="es-CR" w:eastAsia="es-CR"/>
        </w:rPr>
        <w:t xml:space="preserve"> 10.  Seguimiento y evaluación</w:t>
      </w:r>
    </w:p>
    <w:p w:rsidR="00763AF2" w:rsidRPr="00763AF2" w:rsidRDefault="00763AF2" w:rsidP="00763AF2">
      <w:pPr>
        <w:ind w:left="788"/>
        <w:jc w:val="both"/>
        <w:rPr>
          <w:rFonts w:ascii="Arial" w:hAnsi="Arial" w:cs="Arial"/>
          <w:b/>
          <w:lang w:val="es-CR" w:eastAsia="es-CR"/>
        </w:rPr>
      </w:pPr>
    </w:p>
    <w:p w:rsidR="00763AF2" w:rsidRPr="00763AF2" w:rsidRDefault="00763AF2" w:rsidP="00763AF2">
      <w:pPr>
        <w:tabs>
          <w:tab w:val="center" w:pos="4419"/>
          <w:tab w:val="right" w:pos="8838"/>
        </w:tabs>
        <w:ind w:left="851"/>
        <w:jc w:val="both"/>
        <w:rPr>
          <w:rFonts w:ascii="Arial" w:eastAsia="Cambria" w:hAnsi="Arial"/>
          <w:lang w:val="es-CR" w:eastAsia="en-US"/>
        </w:rPr>
      </w:pPr>
      <w:r w:rsidRPr="00763AF2">
        <w:rPr>
          <w:rFonts w:ascii="Arial" w:eastAsia="Cambria" w:hAnsi="Arial"/>
          <w:lang w:val="es-CR" w:eastAsia="en-US"/>
        </w:rPr>
        <w:t>El seguimiento y la evaluación del proceso de Planificación Institucional, consistirá en la verificación del cumplimiento de los siguientes aspectos:</w:t>
      </w:r>
    </w:p>
    <w:p w:rsidR="00763AF2" w:rsidRPr="00763AF2" w:rsidRDefault="00763AF2" w:rsidP="00763AF2">
      <w:pPr>
        <w:tabs>
          <w:tab w:val="center" w:pos="4419"/>
          <w:tab w:val="right" w:pos="8838"/>
        </w:tabs>
        <w:ind w:left="851"/>
        <w:jc w:val="both"/>
        <w:rPr>
          <w:rFonts w:ascii="Arial" w:eastAsia="Cambria" w:hAnsi="Arial"/>
          <w:lang w:val="es-CR" w:eastAsia="en-US"/>
        </w:rPr>
      </w:pPr>
    </w:p>
    <w:p w:rsidR="00763AF2" w:rsidRPr="00763AF2" w:rsidRDefault="00763AF2" w:rsidP="00763AF2">
      <w:pPr>
        <w:numPr>
          <w:ilvl w:val="0"/>
          <w:numId w:val="45"/>
        </w:numPr>
        <w:tabs>
          <w:tab w:val="center" w:pos="459"/>
        </w:tabs>
        <w:jc w:val="both"/>
        <w:rPr>
          <w:rFonts w:ascii="Arial" w:eastAsia="Calibri" w:hAnsi="Arial"/>
          <w:lang w:val="es-CR"/>
        </w:rPr>
      </w:pPr>
      <w:r w:rsidRPr="00763AF2">
        <w:rPr>
          <w:rFonts w:ascii="Arial" w:eastAsia="Calibri" w:hAnsi="Arial"/>
          <w:lang w:val="es-CR"/>
        </w:rPr>
        <w:t>…</w:t>
      </w:r>
    </w:p>
    <w:p w:rsidR="00763AF2" w:rsidRPr="00763AF2" w:rsidRDefault="00763AF2" w:rsidP="00763AF2">
      <w:pPr>
        <w:tabs>
          <w:tab w:val="center" w:pos="459"/>
        </w:tabs>
        <w:ind w:left="851"/>
        <w:jc w:val="both"/>
        <w:rPr>
          <w:rFonts w:ascii="Arial" w:eastAsia="Cambria" w:hAnsi="Arial"/>
          <w:lang w:val="es-ES_tradnl" w:eastAsia="en-US"/>
        </w:rPr>
      </w:pPr>
    </w:p>
    <w:p w:rsidR="00763AF2" w:rsidRPr="00763AF2" w:rsidRDefault="00763AF2" w:rsidP="00763AF2">
      <w:pPr>
        <w:numPr>
          <w:ilvl w:val="0"/>
          <w:numId w:val="45"/>
        </w:numPr>
        <w:tabs>
          <w:tab w:val="center" w:pos="4419"/>
          <w:tab w:val="right" w:pos="8838"/>
        </w:tabs>
        <w:jc w:val="both"/>
        <w:rPr>
          <w:rFonts w:ascii="Arial" w:eastAsia="Calibri" w:hAnsi="Arial"/>
          <w:lang w:val="es-CR"/>
        </w:rPr>
      </w:pPr>
      <w:r w:rsidRPr="00763AF2">
        <w:rPr>
          <w:rFonts w:ascii="Arial" w:eastAsia="Calibri" w:hAnsi="Arial"/>
          <w:lang w:val="es-CR"/>
        </w:rPr>
        <w:t xml:space="preserve">Planes Tácticos: El seguimiento de los planes tácticos deberá ser realizado de </w:t>
      </w:r>
      <w:r w:rsidRPr="00F97429">
        <w:rPr>
          <w:rFonts w:ascii="Arial" w:eastAsia="Calibri" w:hAnsi="Arial"/>
          <w:lang w:val="es-CR"/>
        </w:rPr>
        <w:t xml:space="preserve">manera semestral </w:t>
      </w:r>
      <w:r w:rsidRPr="00763AF2">
        <w:rPr>
          <w:rFonts w:ascii="Arial" w:eastAsia="Calibri" w:hAnsi="Arial"/>
          <w:lang w:val="es-CR"/>
        </w:rPr>
        <w:t>por los responsables correspondientes, con el apoyo y direccionamiento técnico de la Oficina de Planificación Institucional. Estos deberán formular las acciones correctivas que se estimen necesarias para el cumplimiento de dichos planes, los cuales deberán ser presentadas al Rector, si estas no presentan cambios en el Plan Estratégico Institucional serán aprobadas por el Rector, caso contrario serán analizadas y aprobadas por el Consejo Institucional.</w:t>
      </w:r>
    </w:p>
    <w:p w:rsidR="00763AF2" w:rsidRPr="00763AF2" w:rsidRDefault="00763AF2" w:rsidP="00763AF2">
      <w:pPr>
        <w:rPr>
          <w:rFonts w:ascii="Arial" w:eastAsia="Calibri" w:hAnsi="Arial"/>
          <w:lang w:val="es-CR"/>
        </w:rPr>
      </w:pPr>
    </w:p>
    <w:p w:rsidR="00763AF2" w:rsidRPr="00763AF2" w:rsidRDefault="00763AF2" w:rsidP="00763AF2">
      <w:pPr>
        <w:tabs>
          <w:tab w:val="center" w:pos="4419"/>
          <w:tab w:val="right" w:pos="8838"/>
        </w:tabs>
        <w:ind w:left="1439"/>
        <w:jc w:val="both"/>
        <w:rPr>
          <w:rFonts w:ascii="Arial" w:eastAsia="Calibri" w:hAnsi="Arial"/>
          <w:b/>
          <w:lang w:val="es-CR"/>
        </w:rPr>
      </w:pPr>
      <w:r w:rsidRPr="00F97429">
        <w:rPr>
          <w:rFonts w:ascii="Arial" w:eastAsia="Calibri" w:hAnsi="Arial"/>
          <w:lang w:val="es-CR"/>
        </w:rPr>
        <w:t xml:space="preserve">La evaluación de dichos planes deberá de presentarse al Consejo Institucional al menos una vez al año en el mes de marzo, por parte de los responsables correspondientes y la </w:t>
      </w:r>
      <w:r w:rsidR="00F97429">
        <w:rPr>
          <w:rFonts w:ascii="Arial" w:eastAsia="Calibri" w:hAnsi="Arial"/>
          <w:lang w:val="es-CR"/>
        </w:rPr>
        <w:t>O</w:t>
      </w:r>
      <w:r w:rsidRPr="00F97429">
        <w:rPr>
          <w:rFonts w:ascii="Arial" w:eastAsia="Calibri" w:hAnsi="Arial"/>
          <w:lang w:val="es-CR"/>
        </w:rPr>
        <w:t xml:space="preserve">ficina de </w:t>
      </w:r>
      <w:r w:rsidR="00F97429">
        <w:rPr>
          <w:rFonts w:ascii="Arial" w:eastAsia="Calibri" w:hAnsi="Arial"/>
          <w:lang w:val="es-CR"/>
        </w:rPr>
        <w:t>P</w:t>
      </w:r>
      <w:r w:rsidRPr="00F97429">
        <w:rPr>
          <w:rFonts w:ascii="Arial" w:eastAsia="Calibri" w:hAnsi="Arial"/>
          <w:lang w:val="es-CR"/>
        </w:rPr>
        <w:t>lanificación, para verificar que la administración est</w:t>
      </w:r>
      <w:r w:rsidR="00F97429">
        <w:rPr>
          <w:rFonts w:ascii="Arial" w:eastAsia="Calibri" w:hAnsi="Arial"/>
          <w:lang w:val="es-CR"/>
        </w:rPr>
        <w:t>é</w:t>
      </w:r>
      <w:r w:rsidRPr="00F97429">
        <w:rPr>
          <w:rFonts w:ascii="Arial" w:eastAsia="Calibri" w:hAnsi="Arial"/>
          <w:lang w:val="es-CR"/>
        </w:rPr>
        <w:t xml:space="preserve"> cumpliendo los mismos</w:t>
      </w:r>
      <w:r w:rsidRPr="00763AF2">
        <w:rPr>
          <w:rFonts w:ascii="Arial" w:eastAsia="Calibri" w:hAnsi="Arial"/>
          <w:b/>
          <w:lang w:val="es-CR"/>
        </w:rPr>
        <w:t>.</w:t>
      </w:r>
    </w:p>
    <w:p w:rsidR="00763AF2" w:rsidRPr="00763AF2" w:rsidRDefault="00763AF2" w:rsidP="00763AF2">
      <w:pPr>
        <w:ind w:left="708"/>
        <w:rPr>
          <w:rFonts w:ascii="Arial" w:eastAsia="Calibri" w:hAnsi="Arial"/>
          <w:lang w:val="es-CR"/>
        </w:rPr>
      </w:pPr>
    </w:p>
    <w:p w:rsidR="00763AF2" w:rsidRPr="00763AF2" w:rsidRDefault="00763AF2" w:rsidP="00763AF2">
      <w:pPr>
        <w:tabs>
          <w:tab w:val="center" w:pos="4419"/>
          <w:tab w:val="right" w:pos="8838"/>
        </w:tabs>
        <w:ind w:left="1134" w:hanging="283"/>
        <w:jc w:val="both"/>
        <w:rPr>
          <w:rFonts w:ascii="Arial" w:eastAsia="Cambria" w:hAnsi="Arial" w:cs="Arial"/>
          <w:color w:val="404040" w:themeColor="text1" w:themeTint="BF"/>
          <w:lang w:val="es-ES_tradnl" w:eastAsia="en-US"/>
        </w:rPr>
      </w:pPr>
      <w:r w:rsidRPr="00763AF2">
        <w:rPr>
          <w:rFonts w:ascii="Arial" w:eastAsia="Cambria" w:hAnsi="Arial"/>
          <w:lang w:val="es-CR" w:eastAsia="en-US"/>
        </w:rPr>
        <w:t>c.</w:t>
      </w:r>
      <w:r w:rsidRPr="00763AF2">
        <w:rPr>
          <w:rFonts w:ascii="Arial" w:eastAsia="Cambria" w:hAnsi="Arial"/>
          <w:lang w:val="es-CR" w:eastAsia="en-US"/>
        </w:rPr>
        <w:tab/>
        <w:t xml:space="preserve">Plan Anual Operativo: Los responsables del seguimiento y evaluación del Plan Anual Operativo serán los encargados de cada programa, subprograma y demás dependencias adscritas, de acuerdo con el ámbito de su competencia, con el apoyo técnico de la Oficina de Planificación Institucional. La evaluación se realizará </w:t>
      </w:r>
      <w:r w:rsidRPr="00F97429">
        <w:rPr>
          <w:rFonts w:ascii="Arial" w:eastAsia="Cambria" w:hAnsi="Arial"/>
          <w:lang w:val="es-CR" w:eastAsia="en-US"/>
        </w:rPr>
        <w:t>trimestralmente y se presentará un resumen de la evaluación al Consejo de Rectoría para conocimiento y establecimiento de las posibles acciones correctivas</w:t>
      </w:r>
      <w:r w:rsidRPr="00F97429">
        <w:rPr>
          <w:rFonts w:ascii="Arial" w:eastAsia="Cambria" w:hAnsi="Arial"/>
          <w:color w:val="0070C0"/>
          <w:lang w:val="es-CR" w:eastAsia="en-US"/>
        </w:rPr>
        <w:t>.</w:t>
      </w:r>
      <w:r w:rsidRPr="00763AF2">
        <w:rPr>
          <w:rFonts w:ascii="Arial" w:eastAsia="Cambria" w:hAnsi="Arial"/>
          <w:b/>
          <w:color w:val="0070C0"/>
          <w:lang w:val="es-CR" w:eastAsia="en-US"/>
        </w:rPr>
        <w:t xml:space="preserve"> </w:t>
      </w:r>
      <w:r w:rsidRPr="00763AF2">
        <w:rPr>
          <w:rFonts w:ascii="Arial" w:eastAsia="Cambria" w:hAnsi="Arial"/>
          <w:lang w:val="es-CR" w:eastAsia="en-US"/>
        </w:rPr>
        <w:t>Se presentará semestralmente al Consejo Institucional el informe de evaluación para su conocimiento.</w:t>
      </w:r>
    </w:p>
    <w:p w:rsidR="00803BB3" w:rsidRDefault="00803BB3" w:rsidP="00803BB3">
      <w:pPr>
        <w:ind w:right="-91"/>
        <w:jc w:val="both"/>
        <w:rPr>
          <w:rFonts w:ascii="Arial" w:hAnsi="Arial" w:cs="Arial"/>
        </w:rPr>
      </w:pPr>
    </w:p>
    <w:p w:rsidR="00CB682F" w:rsidRDefault="007742A1" w:rsidP="00763AF2">
      <w:pPr>
        <w:numPr>
          <w:ilvl w:val="0"/>
          <w:numId w:val="33"/>
        </w:numPr>
        <w:ind w:left="426" w:right="-91" w:hanging="426"/>
        <w:jc w:val="both"/>
        <w:rPr>
          <w:rFonts w:ascii="Arial" w:hAnsi="Arial" w:cs="Arial"/>
          <w:b/>
          <w:lang w:val="es-CR"/>
        </w:rPr>
      </w:pPr>
      <w:r w:rsidRPr="0026727D">
        <w:rPr>
          <w:rFonts w:ascii="Arial" w:hAnsi="Arial" w:cs="Arial"/>
          <w:lang w:val="es-CR"/>
        </w:rPr>
        <w:t xml:space="preserve">Comunicar. </w:t>
      </w:r>
      <w:r w:rsidRPr="0026727D">
        <w:rPr>
          <w:rFonts w:ascii="Arial" w:hAnsi="Arial" w:cs="Arial"/>
          <w:b/>
          <w:lang w:val="es-CR"/>
        </w:rPr>
        <w:t xml:space="preserve"> ACUERDO FIRME.</w:t>
      </w:r>
      <w:r w:rsidR="007C46B5" w:rsidRPr="0026727D">
        <w:rPr>
          <w:rFonts w:ascii="Arial" w:hAnsi="Arial" w:cs="Arial"/>
          <w:b/>
          <w:lang w:val="es-CR"/>
        </w:rPr>
        <w:t xml:space="preserve">  </w:t>
      </w:r>
    </w:p>
    <w:p w:rsidR="0026727D" w:rsidRDefault="0026727D" w:rsidP="0026727D">
      <w:pPr>
        <w:autoSpaceDE w:val="0"/>
        <w:autoSpaceDN w:val="0"/>
        <w:adjustRightInd w:val="0"/>
        <w:ind w:left="284"/>
        <w:jc w:val="both"/>
        <w:rPr>
          <w:rFonts w:ascii="Arial" w:hAnsi="Arial" w:cs="Arial"/>
          <w:b/>
          <w:lang w:val="es-CR"/>
        </w:rPr>
      </w:pPr>
    </w:p>
    <w:p w:rsidR="00763AF2" w:rsidRPr="00763AF2" w:rsidRDefault="00763AF2" w:rsidP="00763AF2">
      <w:pPr>
        <w:autoSpaceDE w:val="0"/>
        <w:autoSpaceDN w:val="0"/>
        <w:adjustRightInd w:val="0"/>
        <w:jc w:val="both"/>
        <w:rPr>
          <w:rFonts w:ascii="Arial" w:eastAsia="Cambria" w:hAnsi="Arial" w:cs="Arial"/>
          <w:b/>
          <w:sz w:val="22"/>
          <w:szCs w:val="22"/>
          <w:lang w:val="es-ES_tradnl" w:eastAsia="en-US"/>
        </w:rPr>
      </w:pPr>
      <w:r w:rsidRPr="00763AF2">
        <w:rPr>
          <w:rFonts w:ascii="Arial" w:eastAsia="Cambria" w:hAnsi="Arial" w:cs="Arial"/>
          <w:b/>
          <w:sz w:val="22"/>
          <w:szCs w:val="22"/>
          <w:lang w:val="es-ES_tradnl" w:eastAsia="en-US"/>
        </w:rPr>
        <w:t>PALABRAS CLAVE: Modificación - Artículo 10 – Reglamento - Proceso - Planificación – Institucional</w:t>
      </w:r>
    </w:p>
    <w:p w:rsidR="00474B22" w:rsidRPr="00DC4940" w:rsidRDefault="00474B22" w:rsidP="00B63D1C">
      <w:pPr>
        <w:autoSpaceDE w:val="0"/>
        <w:autoSpaceDN w:val="0"/>
        <w:adjustRightInd w:val="0"/>
        <w:jc w:val="both"/>
        <w:rPr>
          <w:rFonts w:ascii="Arial" w:eastAsia="Cambria" w:hAnsi="Arial" w:cs="Arial"/>
          <w:b/>
          <w:sz w:val="22"/>
          <w:szCs w:val="22"/>
          <w:lang w:val="es-CR"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22763"/>
        <w:gridCol w:w="222"/>
        <w:gridCol w:w="222"/>
        <w:gridCol w:w="222"/>
        <w:gridCol w:w="49"/>
        <w:gridCol w:w="174"/>
      </w:tblGrid>
      <w:tr w:rsidR="0034046D" w:rsidRPr="00474B22" w:rsidTr="00D17F37">
        <w:trPr>
          <w:trHeight w:val="183"/>
        </w:trPr>
        <w:tc>
          <w:tcPr>
            <w:tcW w:w="4361" w:type="dxa"/>
          </w:tcPr>
          <w:p w:rsidR="0034046D" w:rsidRPr="00474B22" w:rsidRDefault="0034046D" w:rsidP="00D17F37">
            <w:pPr>
              <w:ind w:left="-567" w:firstLine="567"/>
              <w:jc w:val="both"/>
              <w:rPr>
                <w:rFonts w:ascii="Arial" w:eastAsia="Cambria" w:hAnsi="Arial" w:cs="Arial"/>
                <w:b/>
                <w:sz w:val="16"/>
                <w:szCs w:val="16"/>
                <w:lang w:val="es-ES_tradnl" w:eastAsia="en-US"/>
              </w:rPr>
            </w:pPr>
          </w:p>
        </w:tc>
        <w:tc>
          <w:tcPr>
            <w:tcW w:w="4361" w:type="dxa"/>
          </w:tcPr>
          <w:p w:rsidR="0034046D" w:rsidRPr="00474B22" w:rsidRDefault="0034046D" w:rsidP="00D17F37">
            <w:pPr>
              <w:jc w:val="both"/>
              <w:rPr>
                <w:rFonts w:ascii="Arial" w:eastAsia="Cambria" w:hAnsi="Arial" w:cs="Arial"/>
                <w:b/>
                <w:sz w:val="16"/>
                <w:szCs w:val="16"/>
                <w:lang w:val="es-ES_tradnl" w:eastAsia="en-US"/>
              </w:rPr>
            </w:pPr>
          </w:p>
        </w:tc>
        <w:tc>
          <w:tcPr>
            <w:tcW w:w="4361" w:type="dxa"/>
          </w:tcPr>
          <w:p w:rsidR="0034046D" w:rsidRPr="00474B22" w:rsidRDefault="0034046D" w:rsidP="00D17F37">
            <w:pPr>
              <w:jc w:val="both"/>
              <w:rPr>
                <w:rFonts w:ascii="Arial" w:eastAsia="Cambria" w:hAnsi="Arial" w:cs="Arial"/>
                <w:b/>
                <w:sz w:val="16"/>
                <w:szCs w:val="16"/>
                <w:lang w:val="es-ES_tradnl" w:eastAsia="en-US"/>
              </w:rPr>
            </w:pPr>
          </w:p>
        </w:tc>
        <w:tc>
          <w:tcPr>
            <w:tcW w:w="4361" w:type="dxa"/>
          </w:tcPr>
          <w:p w:rsidR="0034046D" w:rsidRPr="00474B22" w:rsidRDefault="0034046D" w:rsidP="00D17F37">
            <w:pPr>
              <w:jc w:val="both"/>
              <w:rPr>
                <w:rFonts w:ascii="Arial" w:eastAsia="Cambria" w:hAnsi="Arial" w:cs="Arial"/>
                <w:b/>
                <w:sz w:val="16"/>
                <w:szCs w:val="16"/>
                <w:lang w:val="es-ES_tradnl" w:eastAsia="en-US"/>
              </w:rPr>
            </w:pPr>
          </w:p>
        </w:tc>
        <w:tc>
          <w:tcPr>
            <w:tcW w:w="5103" w:type="dxa"/>
            <w:gridSpan w:val="2"/>
          </w:tcPr>
          <w:p w:rsidR="0034046D" w:rsidRPr="00474B22" w:rsidRDefault="0034046D" w:rsidP="00D17F37">
            <w:pPr>
              <w:jc w:val="both"/>
              <w:rPr>
                <w:rFonts w:ascii="Arial" w:eastAsia="Cambria" w:hAnsi="Arial" w:cs="Arial"/>
                <w:b/>
                <w:sz w:val="16"/>
                <w:szCs w:val="16"/>
                <w:lang w:val="es-ES_tradnl" w:eastAsia="en-US"/>
              </w:rPr>
            </w:pPr>
          </w:p>
        </w:tc>
      </w:tr>
      <w:tr w:rsidR="0034046D" w:rsidRPr="00474B22" w:rsidTr="00D17F37">
        <w:trPr>
          <w:gridAfter w:val="1"/>
          <w:wAfter w:w="4361" w:type="dxa"/>
          <w:trHeight w:val="183"/>
        </w:trPr>
        <w:tc>
          <w:tcPr>
            <w:tcW w:w="4361" w:type="dxa"/>
          </w:tcPr>
          <w:p w:rsidR="0034046D" w:rsidRPr="00474B22" w:rsidRDefault="0034046D" w:rsidP="00763AF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ci.  Secretaría del Consejo Institucional</w:t>
            </w:r>
          </w:p>
          <w:tbl>
            <w:tblPr>
              <w:tblpPr w:leftFromText="142" w:rightFromText="142" w:vertAnchor="text" w:horzAnchor="margin" w:tblpY="1"/>
              <w:tblOverlap w:val="never"/>
              <w:tblW w:w="22547" w:type="dxa"/>
              <w:tblLook w:val="04A0" w:firstRow="1" w:lastRow="0" w:firstColumn="1" w:lastColumn="0" w:noHBand="0" w:noVBand="1"/>
            </w:tblPr>
            <w:tblGrid>
              <w:gridCol w:w="22547"/>
            </w:tblGrid>
            <w:tr w:rsidR="00763AF2" w:rsidRPr="00474B22" w:rsidTr="004A231B">
              <w:trPr>
                <w:trHeight w:val="183"/>
              </w:trPr>
              <w:tc>
                <w:tcPr>
                  <w:tcW w:w="4361" w:type="dxa"/>
                </w:tcPr>
                <w:p w:rsidR="00763AF2" w:rsidRPr="00474B22" w:rsidRDefault="00F23EFD" w:rsidP="00763AF2">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Oficina Asesoría Legal (PUBLICAR)</w:t>
                  </w:r>
                  <w:bookmarkStart w:id="0" w:name="_GoBack"/>
                  <w:bookmarkEnd w:id="0"/>
                </w:p>
                <w:p w:rsidR="00763AF2" w:rsidRPr="00474B22" w:rsidRDefault="00763AF2" w:rsidP="00763AF2">
                  <w:pPr>
                    <w:ind w:firstLine="34"/>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Auditoría Interna (Notificado a la Secretaria vía correo electrónico)</w:t>
                  </w:r>
                </w:p>
                <w:p w:rsidR="00763AF2" w:rsidRPr="00474B22" w:rsidRDefault="00763AF2" w:rsidP="00763AF2">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 xml:space="preserve">Comunicación y Mercadeo </w:t>
                  </w:r>
                </w:p>
                <w:p w:rsidR="00763AF2" w:rsidRPr="00474B22" w:rsidRDefault="00763AF2" w:rsidP="00763AF2">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de Archivo y Comunicaciones</w:t>
                  </w:r>
                </w:p>
                <w:p w:rsidR="00763AF2" w:rsidRDefault="00763AF2" w:rsidP="00763AF2">
                  <w:pPr>
                    <w:rPr>
                      <w:rFonts w:ascii="Arial" w:eastAsia="Cambria" w:hAnsi="Arial" w:cs="Arial"/>
                      <w:b/>
                      <w:sz w:val="16"/>
                      <w:szCs w:val="16"/>
                      <w:lang w:val="es-CR" w:eastAsia="en-US"/>
                    </w:rPr>
                  </w:pPr>
                  <w:proofErr w:type="spellStart"/>
                  <w:r w:rsidRPr="00474B22">
                    <w:rPr>
                      <w:rFonts w:ascii="Arial" w:eastAsia="Cambria" w:hAnsi="Arial" w:cs="Arial"/>
                      <w:b/>
                      <w:sz w:val="16"/>
                      <w:szCs w:val="16"/>
                      <w:lang w:val="es-CR" w:eastAsia="en-US"/>
                    </w:rPr>
                    <w:t>FEITEC</w:t>
                  </w:r>
                  <w:proofErr w:type="spellEnd"/>
                </w:p>
                <w:p w:rsidR="00763AF2" w:rsidRPr="00474B22" w:rsidRDefault="00763AF2" w:rsidP="00763AF2">
                  <w:pPr>
                    <w:rPr>
                      <w:rFonts w:ascii="Arial" w:eastAsia="Cambria" w:hAnsi="Arial" w:cs="Arial"/>
                      <w:b/>
                      <w:sz w:val="16"/>
                      <w:szCs w:val="16"/>
                      <w:lang w:val="es-CR" w:eastAsia="en-US"/>
                    </w:rPr>
                  </w:pPr>
                </w:p>
              </w:tc>
            </w:tr>
          </w:tbl>
          <w:p w:rsidR="0034046D" w:rsidRPr="00474B22" w:rsidRDefault="0034046D" w:rsidP="00D17F37">
            <w:pPr>
              <w:ind w:left="-567" w:firstLine="567"/>
              <w:jc w:val="both"/>
              <w:rPr>
                <w:rFonts w:ascii="Arial" w:eastAsia="Cambria" w:hAnsi="Arial" w:cs="Arial"/>
                <w:b/>
                <w:sz w:val="16"/>
                <w:szCs w:val="16"/>
                <w:lang w:val="es-ES_tradnl" w:eastAsia="en-US"/>
              </w:rPr>
            </w:pPr>
          </w:p>
          <w:p w:rsidR="0034046D" w:rsidRPr="00474B22" w:rsidRDefault="0034046D" w:rsidP="00D17F37">
            <w:pPr>
              <w:ind w:left="-567" w:firstLine="567"/>
              <w:jc w:val="both"/>
              <w:rPr>
                <w:rFonts w:ascii="Arial" w:eastAsia="Cambria" w:hAnsi="Arial" w:cs="Arial"/>
                <w:b/>
                <w:sz w:val="16"/>
                <w:szCs w:val="16"/>
                <w:lang w:val="es-ES_tradnl" w:eastAsia="en-US"/>
              </w:rPr>
            </w:pPr>
          </w:p>
        </w:tc>
        <w:tc>
          <w:tcPr>
            <w:tcW w:w="4361" w:type="dxa"/>
          </w:tcPr>
          <w:p w:rsidR="0034046D" w:rsidRPr="00474B22" w:rsidRDefault="0034046D" w:rsidP="000C25EB">
            <w:pPr>
              <w:rPr>
                <w:rFonts w:ascii="Arial" w:eastAsia="Cambria" w:hAnsi="Arial" w:cs="Arial"/>
                <w:b/>
                <w:sz w:val="16"/>
                <w:szCs w:val="16"/>
                <w:lang w:val="es-CR" w:eastAsia="en-US"/>
              </w:rPr>
            </w:pPr>
          </w:p>
        </w:tc>
        <w:tc>
          <w:tcPr>
            <w:tcW w:w="4361" w:type="dxa"/>
          </w:tcPr>
          <w:p w:rsidR="0034046D" w:rsidRPr="00474B22" w:rsidRDefault="0034046D" w:rsidP="00D17F37">
            <w:pPr>
              <w:jc w:val="both"/>
              <w:rPr>
                <w:rFonts w:ascii="Arial" w:eastAsia="Cambria" w:hAnsi="Arial" w:cs="Arial"/>
                <w:b/>
                <w:sz w:val="16"/>
                <w:szCs w:val="16"/>
                <w:lang w:val="es-ES_tradnl" w:eastAsia="en-US"/>
              </w:rPr>
            </w:pPr>
          </w:p>
        </w:tc>
        <w:tc>
          <w:tcPr>
            <w:tcW w:w="5103" w:type="dxa"/>
            <w:gridSpan w:val="2"/>
          </w:tcPr>
          <w:p w:rsidR="0034046D" w:rsidRPr="00474B22" w:rsidRDefault="0034046D" w:rsidP="00D17F37">
            <w:pPr>
              <w:jc w:val="both"/>
              <w:rPr>
                <w:rFonts w:ascii="Arial" w:eastAsia="Cambria" w:hAnsi="Arial" w:cs="Arial"/>
                <w:b/>
                <w:sz w:val="16"/>
                <w:szCs w:val="16"/>
                <w:lang w:val="es-ES_tradnl" w:eastAsia="en-US"/>
              </w:rPr>
            </w:pPr>
          </w:p>
        </w:tc>
      </w:tr>
    </w:tbl>
    <w:p w:rsidR="00763AF2" w:rsidRPr="00763AF2" w:rsidRDefault="00763AF2" w:rsidP="00763AF2">
      <w:pPr>
        <w:jc w:val="both"/>
        <w:rPr>
          <w:rFonts w:ascii="Arial" w:eastAsia="Cambria" w:hAnsi="Arial" w:cs="Arial"/>
          <w:b/>
          <w:i/>
          <w:lang w:val="es-ES_tradnl" w:eastAsia="en-US"/>
        </w:rPr>
      </w:pPr>
      <w:r w:rsidRPr="00763AF2">
        <w:rPr>
          <w:rFonts w:ascii="Arial" w:eastAsia="Cambria" w:hAnsi="Arial" w:cs="Arial"/>
          <w:b/>
          <w:i/>
          <w:lang w:val="es-ES_tradnl" w:eastAsia="en-US"/>
        </w:rPr>
        <w:t>ANEXOS</w:t>
      </w:r>
    </w:p>
    <w:p w:rsidR="00763AF2" w:rsidRPr="00763AF2" w:rsidRDefault="00763AF2" w:rsidP="00763AF2">
      <w:pPr>
        <w:jc w:val="both"/>
        <w:rPr>
          <w:rFonts w:ascii="Arial" w:eastAsia="Cambria" w:hAnsi="Arial" w:cs="Arial"/>
          <w:b/>
          <w:i/>
          <w:lang w:val="es-ES_tradnl" w:eastAsia="en-US"/>
        </w:rPr>
      </w:pPr>
    </w:p>
    <w:bookmarkStart w:id="1" w:name="_MON_1555853658"/>
    <w:bookmarkEnd w:id="1"/>
    <w:p w:rsidR="00763AF2" w:rsidRPr="00763AF2" w:rsidRDefault="00763AF2" w:rsidP="00763AF2">
      <w:pPr>
        <w:jc w:val="both"/>
        <w:rPr>
          <w:rFonts w:ascii="Arial" w:eastAsia="Cambria" w:hAnsi="Arial" w:cs="Arial"/>
          <w:b/>
          <w:i/>
          <w:lang w:val="es-ES_tradnl" w:eastAsia="en-US"/>
        </w:rPr>
      </w:pPr>
      <w:r w:rsidRPr="00763AF2">
        <w:rPr>
          <w:rFonts w:ascii="Arial" w:eastAsia="Cambria" w:hAnsi="Arial" w:cs="Arial"/>
          <w:b/>
          <w:i/>
          <w:lang w:val="es-ES_tradnl" w:eastAsia="en-US"/>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555928400" r:id="rId9">
            <o:FieldCodes>\s</o:FieldCodes>
          </o:OLEObject>
        </w:object>
      </w:r>
      <w:bookmarkStart w:id="2" w:name="_MON_1555853674"/>
      <w:bookmarkEnd w:id="2"/>
      <w:r w:rsidRPr="00763AF2">
        <w:rPr>
          <w:rFonts w:ascii="Arial" w:eastAsia="Cambria" w:hAnsi="Arial" w:cs="Arial"/>
          <w:b/>
          <w:i/>
          <w:lang w:val="es-ES_tradnl" w:eastAsia="en-US"/>
        </w:rPr>
        <w:object w:dxaOrig="1513" w:dyaOrig="984">
          <v:shape id="_x0000_i1026" type="#_x0000_t75" style="width:75.6pt;height:49.2pt" o:ole="">
            <v:imagedata r:id="rId10" o:title=""/>
          </v:shape>
          <o:OLEObject Type="Embed" ProgID="Word.Document.8" ShapeID="_x0000_i1026" DrawAspect="Icon" ObjectID="_1555928401" r:id="rId11">
            <o:FieldCodes>\s</o:FieldCodes>
          </o:OLEObject>
        </w:object>
      </w:r>
    </w:p>
    <w:p w:rsidR="008D0FEC" w:rsidRDefault="008D0FEC" w:rsidP="008D0FEC">
      <w:pPr>
        <w:jc w:val="both"/>
        <w:rPr>
          <w:rFonts w:ascii="Arial" w:hAnsi="Arial" w:cs="Arial"/>
          <w:b/>
          <w:i/>
          <w:sz w:val="22"/>
          <w:szCs w:val="22"/>
        </w:rPr>
      </w:pPr>
    </w:p>
    <w:sectPr w:rsidR="008D0FEC" w:rsidSect="00CE0215">
      <w:headerReference w:type="default" r:id="rId12"/>
      <w:footerReference w:type="default" r:id="rId13"/>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74" w:rsidRDefault="00316C74">
      <w:r>
        <w:separator/>
      </w:r>
    </w:p>
  </w:endnote>
  <w:endnote w:type="continuationSeparator" w:id="0">
    <w:p w:rsidR="00316C74" w:rsidRDefault="0031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Default="00437F0F">
    <w:pPr>
      <w:pStyle w:val="Piedepgina"/>
      <w:jc w:val="center"/>
    </w:pPr>
  </w:p>
  <w:p w:rsidR="00437F0F" w:rsidRDefault="00437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74" w:rsidRDefault="00316C74">
      <w:r>
        <w:separator/>
      </w:r>
    </w:p>
  </w:footnote>
  <w:footnote w:type="continuationSeparator" w:id="0">
    <w:p w:rsidR="00316C74" w:rsidRDefault="0031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Pr="00D958BC" w:rsidRDefault="00437F0F"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437F0F" w:rsidRPr="00D958BC"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1F3E92">
      <w:rPr>
        <w:rFonts w:ascii="Arial" w:eastAsia="Cambria" w:hAnsi="Arial" w:cs="Arial"/>
        <w:i/>
        <w:sz w:val="18"/>
        <w:szCs w:val="18"/>
        <w:lang w:val="es-ES_tradnl" w:eastAsia="x-none"/>
      </w:rPr>
      <w:t>2</w:t>
    </w:r>
    <w:r w:rsidR="00763AF2">
      <w:rPr>
        <w:rFonts w:ascii="Arial" w:eastAsia="Cambria" w:hAnsi="Arial" w:cs="Arial"/>
        <w:i/>
        <w:sz w:val="18"/>
        <w:szCs w:val="18"/>
        <w:lang w:val="es-ES_tradnl" w:eastAsia="x-none"/>
      </w:rPr>
      <w:t>1</w:t>
    </w:r>
    <w:r w:rsidRPr="00D958BC">
      <w:rPr>
        <w:rFonts w:ascii="Arial" w:eastAsia="Cambria" w:hAnsi="Arial" w:cs="Arial"/>
        <w:i/>
        <w:sz w:val="18"/>
        <w:szCs w:val="18"/>
        <w:lang w:val="es-ES_tradnl" w:eastAsia="x-none"/>
      </w:rPr>
      <w:t xml:space="preserve">, Artículo </w:t>
    </w:r>
    <w:r w:rsidR="001F3E92">
      <w:rPr>
        <w:rFonts w:ascii="Arial" w:eastAsia="Cambria" w:hAnsi="Arial" w:cs="Arial"/>
        <w:i/>
        <w:sz w:val="18"/>
        <w:szCs w:val="18"/>
        <w:lang w:val="es-ES_tradnl" w:eastAsia="x-none"/>
      </w:rPr>
      <w:t>7</w:t>
    </w:r>
    <w:r w:rsidR="006442DF">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763AF2">
      <w:rPr>
        <w:rFonts w:ascii="Arial" w:eastAsia="Cambria" w:hAnsi="Arial" w:cs="Arial"/>
        <w:i/>
        <w:sz w:val="18"/>
        <w:szCs w:val="18"/>
        <w:lang w:val="es-ES_tradnl" w:eastAsia="x-none"/>
      </w:rPr>
      <w:t>10</w:t>
    </w:r>
    <w:r w:rsidR="006442DF">
      <w:rPr>
        <w:rFonts w:ascii="Arial" w:eastAsia="Cambria" w:hAnsi="Arial" w:cs="Arial"/>
        <w:i/>
        <w:sz w:val="18"/>
        <w:szCs w:val="18"/>
        <w:lang w:val="es-ES_tradnl" w:eastAsia="x-none"/>
      </w:rPr>
      <w:t xml:space="preserve"> de </w:t>
    </w:r>
    <w:r w:rsidR="001F3E92">
      <w:rPr>
        <w:rFonts w:ascii="Arial" w:eastAsia="Cambria" w:hAnsi="Arial" w:cs="Arial"/>
        <w:i/>
        <w:sz w:val="18"/>
        <w:szCs w:val="18"/>
        <w:lang w:val="es-ES_tradnl" w:eastAsia="x-none"/>
      </w:rPr>
      <w:t>mayo</w:t>
    </w:r>
    <w:r w:rsidR="006442DF">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437F0F"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F23EFD">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437F0F" w:rsidRDefault="00437F0F"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BC1"/>
    <w:multiLevelType w:val="multilevel"/>
    <w:tmpl w:val="7A4C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B5837"/>
    <w:multiLevelType w:val="hybridMultilevel"/>
    <w:tmpl w:val="F2E013EA"/>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B30D4D"/>
    <w:multiLevelType w:val="hybridMultilevel"/>
    <w:tmpl w:val="68249218"/>
    <w:lvl w:ilvl="0" w:tplc="50FEA782">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DB4C14"/>
    <w:multiLevelType w:val="hybridMultilevel"/>
    <w:tmpl w:val="7DEE8AB0"/>
    <w:lvl w:ilvl="0" w:tplc="162E3384">
      <w:start w:val="1"/>
      <w:numFmt w:val="decimal"/>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8E37AE"/>
    <w:multiLevelType w:val="hybridMultilevel"/>
    <w:tmpl w:val="BDB2F21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15231DCA"/>
    <w:multiLevelType w:val="hybridMultilevel"/>
    <w:tmpl w:val="F45278B2"/>
    <w:lvl w:ilvl="0" w:tplc="140A000F">
      <w:start w:val="1"/>
      <w:numFmt w:val="decimal"/>
      <w:lvlText w:val="%1."/>
      <w:lvlJc w:val="left"/>
      <w:pPr>
        <w:ind w:left="720" w:hanging="360"/>
      </w:pPr>
      <w:rPr>
        <w:rFonts w:hint="default"/>
        <w:b/>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394FBB"/>
    <w:multiLevelType w:val="hybridMultilevel"/>
    <w:tmpl w:val="23A60498"/>
    <w:lvl w:ilvl="0" w:tplc="283E2FAC">
      <w:start w:val="1"/>
      <w:numFmt w:val="lowerLetter"/>
      <w:lvlText w:val="%1."/>
      <w:lvlJc w:val="left"/>
      <w:pPr>
        <w:tabs>
          <w:tab w:val="num" w:pos="1440"/>
        </w:tabs>
        <w:ind w:left="144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F13B2A"/>
    <w:multiLevelType w:val="multilevel"/>
    <w:tmpl w:val="D1F654A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19410AB5"/>
    <w:multiLevelType w:val="hybridMultilevel"/>
    <w:tmpl w:val="CFA697B8"/>
    <w:lvl w:ilvl="0" w:tplc="14C8A842">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BFC3EBE"/>
    <w:multiLevelType w:val="hybridMultilevel"/>
    <w:tmpl w:val="868E5AEA"/>
    <w:lvl w:ilvl="0" w:tplc="50FEA782">
      <w:start w:val="1"/>
      <w:numFmt w:val="lowerLetter"/>
      <w:lvlText w:val="%1."/>
      <w:lvlJc w:val="lef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1DB1422B"/>
    <w:multiLevelType w:val="hybridMultilevel"/>
    <w:tmpl w:val="AA5E4E52"/>
    <w:lvl w:ilvl="0" w:tplc="EE7471CA">
      <w:start w:val="1"/>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27D5D73"/>
    <w:multiLevelType w:val="hybridMultilevel"/>
    <w:tmpl w:val="BA841164"/>
    <w:lvl w:ilvl="0" w:tplc="F37459BE">
      <w:start w:val="2"/>
      <w:numFmt w:val="decimal"/>
      <w:lvlText w:val="%1."/>
      <w:lvlJc w:val="left"/>
      <w:pPr>
        <w:ind w:left="6239" w:hanging="852"/>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5141770"/>
    <w:multiLevelType w:val="multilevel"/>
    <w:tmpl w:val="AFF25C08"/>
    <w:lvl w:ilvl="0">
      <w:start w:val="6"/>
      <w:numFmt w:val="decimal"/>
      <w:lvlText w:val="%1."/>
      <w:lvlJc w:val="left"/>
      <w:pPr>
        <w:ind w:left="720" w:hanging="36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26AF40FA"/>
    <w:multiLevelType w:val="hybridMultilevel"/>
    <w:tmpl w:val="D0AAC59E"/>
    <w:lvl w:ilvl="0" w:tplc="140A000F">
      <w:start w:val="1"/>
      <w:numFmt w:val="decimal"/>
      <w:lvlText w:val="%1."/>
      <w:lvlJc w:val="left"/>
      <w:pPr>
        <w:ind w:left="720" w:hanging="360"/>
      </w:pPr>
      <w:rPr>
        <w:rFonts w:hint="default"/>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7D2700B"/>
    <w:multiLevelType w:val="hybridMultilevel"/>
    <w:tmpl w:val="13562FEA"/>
    <w:lvl w:ilvl="0" w:tplc="2D28D13C">
      <w:start w:val="1"/>
      <w:numFmt w:val="decimal"/>
      <w:lvlText w:val="%1."/>
      <w:lvlJc w:val="left"/>
      <w:pPr>
        <w:tabs>
          <w:tab w:val="num" w:pos="825"/>
        </w:tabs>
        <w:ind w:left="825" w:hanging="465"/>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B3832C3"/>
    <w:multiLevelType w:val="hybridMultilevel"/>
    <w:tmpl w:val="CCA4600E"/>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E0353D7"/>
    <w:multiLevelType w:val="hybridMultilevel"/>
    <w:tmpl w:val="2D9E61D2"/>
    <w:lvl w:ilvl="0" w:tplc="55262B08">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EC578E"/>
    <w:multiLevelType w:val="hybridMultilevel"/>
    <w:tmpl w:val="E08E574E"/>
    <w:lvl w:ilvl="0" w:tplc="6F626266">
      <w:start w:val="1"/>
      <w:numFmt w:val="decimal"/>
      <w:lvlText w:val="%1."/>
      <w:lvlJc w:val="left"/>
      <w:pPr>
        <w:ind w:left="360" w:hanging="360"/>
      </w:pPr>
      <w:rPr>
        <w:b w:val="0"/>
      </w:rPr>
    </w:lvl>
    <w:lvl w:ilvl="1" w:tplc="E0606EA0">
      <w:start w:val="1"/>
      <w:numFmt w:val="lowerLetter"/>
      <w:lvlText w:val="%2."/>
      <w:lvlJc w:val="left"/>
      <w:pPr>
        <w:ind w:left="1080" w:hanging="360"/>
      </w:pPr>
      <w:rPr>
        <w:b/>
      </w:r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9" w15:restartNumberingAfterBreak="0">
    <w:nsid w:val="34BA7C37"/>
    <w:multiLevelType w:val="hybridMultilevel"/>
    <w:tmpl w:val="F934CA1A"/>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233555"/>
    <w:multiLevelType w:val="hybridMultilevel"/>
    <w:tmpl w:val="84F05C7A"/>
    <w:lvl w:ilvl="0" w:tplc="0BC04576">
      <w:start w:val="1"/>
      <w:numFmt w:val="lowerLetter"/>
      <w:lvlText w:val="%1."/>
      <w:lvlJc w:val="left"/>
      <w:pPr>
        <w:ind w:left="360" w:hanging="360"/>
      </w:pPr>
      <w:rPr>
        <w:rFonts w:hint="default"/>
        <w:b w:val="0"/>
        <w:i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D047512"/>
    <w:multiLevelType w:val="hybridMultilevel"/>
    <w:tmpl w:val="66D8C936"/>
    <w:lvl w:ilvl="0" w:tplc="CB88DC8A">
      <w:start w:val="1"/>
      <w:numFmt w:val="decimal"/>
      <w:lvlText w:val="%1."/>
      <w:lvlJc w:val="left"/>
      <w:pPr>
        <w:ind w:left="360" w:hanging="360"/>
      </w:pPr>
      <w:rPr>
        <w:b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3" w15:restartNumberingAfterBreak="0">
    <w:nsid w:val="3E172C4D"/>
    <w:multiLevelType w:val="hybridMultilevel"/>
    <w:tmpl w:val="AA5E4E52"/>
    <w:lvl w:ilvl="0" w:tplc="EE7471CA">
      <w:start w:val="1"/>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FD470AF"/>
    <w:multiLevelType w:val="hybridMultilevel"/>
    <w:tmpl w:val="48961C6C"/>
    <w:lvl w:ilvl="0" w:tplc="B92C7FC6">
      <w:start w:val="1"/>
      <w:numFmt w:val="lowerLetter"/>
      <w:lvlText w:val="%1."/>
      <w:lvlJc w:val="left"/>
      <w:pPr>
        <w:ind w:left="1146" w:hanging="360"/>
      </w:pPr>
      <w:rPr>
        <w:rFonts w:ascii="Arial" w:hAnsi="Arial" w:cs="Arial" w:hint="default"/>
        <w:b/>
        <w:lang w:val="es-ES_tradnl"/>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6" w15:restartNumberingAfterBreak="0">
    <w:nsid w:val="43851454"/>
    <w:multiLevelType w:val="hybridMultilevel"/>
    <w:tmpl w:val="1D46532C"/>
    <w:lvl w:ilvl="0" w:tplc="A75022C0">
      <w:start w:val="1"/>
      <w:numFmt w:val="decimal"/>
      <w:lvlText w:val="%1."/>
      <w:lvlJc w:val="lef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4DD0577"/>
    <w:multiLevelType w:val="hybridMultilevel"/>
    <w:tmpl w:val="82AEBC50"/>
    <w:lvl w:ilvl="0" w:tplc="D852576E">
      <w:start w:val="1"/>
      <w:numFmt w:val="lowerLetter"/>
      <w:lvlText w:val="%1."/>
      <w:lvlJc w:val="left"/>
      <w:pPr>
        <w:ind w:left="720" w:hanging="360"/>
      </w:pPr>
      <w:rPr>
        <w:rFonts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E260A1"/>
    <w:multiLevelType w:val="hybridMultilevel"/>
    <w:tmpl w:val="03286A06"/>
    <w:lvl w:ilvl="0" w:tplc="C47A1C6E">
      <w:start w:val="1"/>
      <w:numFmt w:val="lowerLetter"/>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8005C6A"/>
    <w:multiLevelType w:val="hybridMultilevel"/>
    <w:tmpl w:val="A628CC94"/>
    <w:lvl w:ilvl="0" w:tplc="061CDAC6">
      <w:start w:val="1"/>
      <w:numFmt w:val="lowerLetter"/>
      <w:lvlText w:val="%1."/>
      <w:lvlJc w:val="left"/>
      <w:pPr>
        <w:tabs>
          <w:tab w:val="num" w:pos="360"/>
        </w:tabs>
        <w:ind w:left="360" w:hanging="360"/>
      </w:pPr>
      <w:rPr>
        <w:rFonts w:hint="default"/>
        <w:b/>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54E75FE5"/>
    <w:multiLevelType w:val="hybridMultilevel"/>
    <w:tmpl w:val="3C2CB4A0"/>
    <w:lvl w:ilvl="0" w:tplc="2D3E041A">
      <w:start w:val="1"/>
      <w:numFmt w:val="lowerLetter"/>
      <w:lvlText w:val="%1."/>
      <w:lvlJc w:val="left"/>
      <w:pPr>
        <w:ind w:left="720" w:hanging="360"/>
      </w:pPr>
      <w:rPr>
        <w:rFonts w:hint="default"/>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99C067A"/>
    <w:multiLevelType w:val="hybridMultilevel"/>
    <w:tmpl w:val="7054D8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DB65D96"/>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073718F"/>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10120AB"/>
    <w:multiLevelType w:val="hybridMultilevel"/>
    <w:tmpl w:val="5BF414BC"/>
    <w:lvl w:ilvl="0" w:tplc="ADDEBCD0">
      <w:start w:val="1"/>
      <w:numFmt w:val="bullet"/>
      <w:lvlText w:val=""/>
      <w:lvlJc w:val="left"/>
      <w:pPr>
        <w:ind w:left="720" w:hanging="360"/>
      </w:pPr>
      <w:rPr>
        <w:rFonts w:ascii="Symbol" w:hAnsi="Symbol" w:hint="default"/>
        <w:b/>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B806077"/>
    <w:multiLevelType w:val="hybridMultilevel"/>
    <w:tmpl w:val="0992A742"/>
    <w:lvl w:ilvl="0" w:tplc="B5003766">
      <w:start w:val="4"/>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F6660C0"/>
    <w:multiLevelType w:val="hybridMultilevel"/>
    <w:tmpl w:val="9306BCA6"/>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74DA320A"/>
    <w:multiLevelType w:val="hybridMultilevel"/>
    <w:tmpl w:val="1C3815D4"/>
    <w:lvl w:ilvl="0" w:tplc="DB1C68F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210CE"/>
    <w:multiLevelType w:val="hybridMultilevel"/>
    <w:tmpl w:val="79645ADE"/>
    <w:lvl w:ilvl="0" w:tplc="69600E36">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60A37EB"/>
    <w:multiLevelType w:val="hybridMultilevel"/>
    <w:tmpl w:val="A19434C4"/>
    <w:lvl w:ilvl="0" w:tplc="A97A4856">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AED3157"/>
    <w:multiLevelType w:val="hybridMultilevel"/>
    <w:tmpl w:val="01965802"/>
    <w:lvl w:ilvl="0" w:tplc="D1449BC2">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7B5A7868"/>
    <w:multiLevelType w:val="hybridMultilevel"/>
    <w:tmpl w:val="12FEDC8E"/>
    <w:lvl w:ilvl="0" w:tplc="27DA2FE0">
      <w:start w:val="1"/>
      <w:numFmt w:val="lowerLetter"/>
      <w:lvlText w:val="%1."/>
      <w:lvlJc w:val="left"/>
      <w:pPr>
        <w:ind w:left="1439" w:hanging="588"/>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3" w15:restartNumberingAfterBreak="0">
    <w:nsid w:val="7B9545D6"/>
    <w:multiLevelType w:val="hybridMultilevel"/>
    <w:tmpl w:val="6F742828"/>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EBC588E"/>
    <w:multiLevelType w:val="hybridMultilevel"/>
    <w:tmpl w:val="586A3188"/>
    <w:lvl w:ilvl="0" w:tplc="83EA1C6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43"/>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7"/>
  </w:num>
  <w:num w:numId="6">
    <w:abstractNumId w:val="9"/>
  </w:num>
  <w:num w:numId="7">
    <w:abstractNumId w:val="3"/>
  </w:num>
  <w:num w:numId="8">
    <w:abstractNumId w:val="40"/>
  </w:num>
  <w:num w:numId="9">
    <w:abstractNumId w:val="39"/>
  </w:num>
  <w:num w:numId="10">
    <w:abstractNumId w:val="27"/>
  </w:num>
  <w:num w:numId="11">
    <w:abstractNumId w:val="34"/>
  </w:num>
  <w:num w:numId="12">
    <w:abstractNumId w:val="10"/>
  </w:num>
  <w:num w:numId="13">
    <w:abstractNumId w:val="30"/>
  </w:num>
  <w:num w:numId="14">
    <w:abstractNumId w:val="29"/>
  </w:num>
  <w:num w:numId="15">
    <w:abstractNumId w:val="32"/>
  </w:num>
  <w:num w:numId="16">
    <w:abstractNumId w:val="33"/>
  </w:num>
  <w:num w:numId="17">
    <w:abstractNumId w:val="6"/>
  </w:num>
  <w:num w:numId="18">
    <w:abstractNumId w:val="14"/>
  </w:num>
  <w:num w:numId="19">
    <w:abstractNumId w:val="20"/>
  </w:num>
  <w:num w:numId="20">
    <w:abstractNumId w:val="19"/>
  </w:num>
  <w:num w:numId="21">
    <w:abstractNumId w:val="16"/>
  </w:num>
  <w:num w:numId="22">
    <w:abstractNumId w:val="31"/>
  </w:num>
  <w:num w:numId="23">
    <w:abstractNumId w:val="15"/>
  </w:num>
  <w:num w:numId="24">
    <w:abstractNumId w:val="44"/>
  </w:num>
  <w:num w:numId="25">
    <w:abstractNumId w:val="12"/>
  </w:num>
  <w:num w:numId="26">
    <w:abstractNumId w:val="36"/>
  </w:num>
  <w:num w:numId="27">
    <w:abstractNumId w:val="7"/>
  </w:num>
  <w:num w:numId="28">
    <w:abstractNumId w:val="41"/>
  </w:num>
  <w:num w:numId="29">
    <w:abstractNumId w:val="8"/>
  </w:num>
  <w:num w:numId="30">
    <w:abstractNumId w:val="24"/>
  </w:num>
  <w:num w:numId="31">
    <w:abstractNumId w:val="28"/>
  </w:num>
  <w:num w:numId="32">
    <w:abstractNumId w:val="4"/>
  </w:num>
  <w:num w:numId="33">
    <w:abstractNumId w:val="2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13"/>
  </w:num>
  <w:num w:numId="38">
    <w:abstractNumId w:val="0"/>
  </w:num>
  <w:num w:numId="39">
    <w:abstractNumId w:val="17"/>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6"/>
  </w:num>
  <w:num w:numId="44">
    <w:abstractNumId w:val="35"/>
  </w:num>
  <w:num w:numId="45">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10592"/>
    <w:rsid w:val="000120EB"/>
    <w:rsid w:val="000128E2"/>
    <w:rsid w:val="00017DE2"/>
    <w:rsid w:val="000213DD"/>
    <w:rsid w:val="00024564"/>
    <w:rsid w:val="00024BA5"/>
    <w:rsid w:val="000254A5"/>
    <w:rsid w:val="00033918"/>
    <w:rsid w:val="00034CE3"/>
    <w:rsid w:val="000359F5"/>
    <w:rsid w:val="00036DAC"/>
    <w:rsid w:val="000401D6"/>
    <w:rsid w:val="000414FE"/>
    <w:rsid w:val="000428F8"/>
    <w:rsid w:val="000437DE"/>
    <w:rsid w:val="00043B22"/>
    <w:rsid w:val="00047F2B"/>
    <w:rsid w:val="00050123"/>
    <w:rsid w:val="000602DE"/>
    <w:rsid w:val="00060CCC"/>
    <w:rsid w:val="00067296"/>
    <w:rsid w:val="00067992"/>
    <w:rsid w:val="00067BE7"/>
    <w:rsid w:val="00067C8C"/>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0756"/>
    <w:rsid w:val="000A5D85"/>
    <w:rsid w:val="000B10B4"/>
    <w:rsid w:val="000B10C0"/>
    <w:rsid w:val="000B39AF"/>
    <w:rsid w:val="000B55D7"/>
    <w:rsid w:val="000B624C"/>
    <w:rsid w:val="000B6B41"/>
    <w:rsid w:val="000B7C5A"/>
    <w:rsid w:val="000C0A23"/>
    <w:rsid w:val="000C25EB"/>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5121"/>
    <w:rsid w:val="00156111"/>
    <w:rsid w:val="001644B1"/>
    <w:rsid w:val="00165556"/>
    <w:rsid w:val="00165902"/>
    <w:rsid w:val="00165C83"/>
    <w:rsid w:val="00165F34"/>
    <w:rsid w:val="00166375"/>
    <w:rsid w:val="00171AC3"/>
    <w:rsid w:val="001746E5"/>
    <w:rsid w:val="0018030A"/>
    <w:rsid w:val="001806C4"/>
    <w:rsid w:val="00182124"/>
    <w:rsid w:val="00187E00"/>
    <w:rsid w:val="001962C2"/>
    <w:rsid w:val="001B1E0E"/>
    <w:rsid w:val="001B208D"/>
    <w:rsid w:val="001B59CC"/>
    <w:rsid w:val="001C1124"/>
    <w:rsid w:val="001C1335"/>
    <w:rsid w:val="001D40F5"/>
    <w:rsid w:val="001E0224"/>
    <w:rsid w:val="001E08C0"/>
    <w:rsid w:val="001E11D4"/>
    <w:rsid w:val="001E3DCB"/>
    <w:rsid w:val="001E684C"/>
    <w:rsid w:val="001E69A6"/>
    <w:rsid w:val="001E69C9"/>
    <w:rsid w:val="001F0C0F"/>
    <w:rsid w:val="001F26FD"/>
    <w:rsid w:val="001F3C06"/>
    <w:rsid w:val="001F3E92"/>
    <w:rsid w:val="0020019E"/>
    <w:rsid w:val="0020223D"/>
    <w:rsid w:val="00203662"/>
    <w:rsid w:val="00204A01"/>
    <w:rsid w:val="00204A3D"/>
    <w:rsid w:val="00210743"/>
    <w:rsid w:val="002118B2"/>
    <w:rsid w:val="002127EE"/>
    <w:rsid w:val="002139D9"/>
    <w:rsid w:val="00217BCB"/>
    <w:rsid w:val="002207D9"/>
    <w:rsid w:val="00220ED5"/>
    <w:rsid w:val="00221713"/>
    <w:rsid w:val="00221F57"/>
    <w:rsid w:val="00225D59"/>
    <w:rsid w:val="002279E5"/>
    <w:rsid w:val="00227D3E"/>
    <w:rsid w:val="00230EB0"/>
    <w:rsid w:val="00234BB0"/>
    <w:rsid w:val="00235258"/>
    <w:rsid w:val="00242D06"/>
    <w:rsid w:val="00246D38"/>
    <w:rsid w:val="00250B47"/>
    <w:rsid w:val="00253D5C"/>
    <w:rsid w:val="00255202"/>
    <w:rsid w:val="002569E9"/>
    <w:rsid w:val="00260F3E"/>
    <w:rsid w:val="00261D4A"/>
    <w:rsid w:val="00263233"/>
    <w:rsid w:val="00264EFA"/>
    <w:rsid w:val="00266024"/>
    <w:rsid w:val="002668E5"/>
    <w:rsid w:val="0026727D"/>
    <w:rsid w:val="00267A3B"/>
    <w:rsid w:val="002743B7"/>
    <w:rsid w:val="00275822"/>
    <w:rsid w:val="00275FE3"/>
    <w:rsid w:val="00280C7B"/>
    <w:rsid w:val="00281B37"/>
    <w:rsid w:val="00283360"/>
    <w:rsid w:val="00283375"/>
    <w:rsid w:val="00284956"/>
    <w:rsid w:val="0029068F"/>
    <w:rsid w:val="00293149"/>
    <w:rsid w:val="00293595"/>
    <w:rsid w:val="00294D1D"/>
    <w:rsid w:val="002A148D"/>
    <w:rsid w:val="002A285B"/>
    <w:rsid w:val="002A39D6"/>
    <w:rsid w:val="002A51A3"/>
    <w:rsid w:val="002A57B5"/>
    <w:rsid w:val="002A7751"/>
    <w:rsid w:val="002B2032"/>
    <w:rsid w:val="002B2346"/>
    <w:rsid w:val="002C19F4"/>
    <w:rsid w:val="002C228F"/>
    <w:rsid w:val="002C2B58"/>
    <w:rsid w:val="002C468D"/>
    <w:rsid w:val="002C4D2C"/>
    <w:rsid w:val="002C6BE2"/>
    <w:rsid w:val="002D2C7C"/>
    <w:rsid w:val="002E03BF"/>
    <w:rsid w:val="002E1507"/>
    <w:rsid w:val="002E2751"/>
    <w:rsid w:val="002E49F2"/>
    <w:rsid w:val="002E5A2A"/>
    <w:rsid w:val="002F1374"/>
    <w:rsid w:val="00300778"/>
    <w:rsid w:val="003011A3"/>
    <w:rsid w:val="0030153B"/>
    <w:rsid w:val="00301B0B"/>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725E"/>
    <w:rsid w:val="0036607E"/>
    <w:rsid w:val="00366F0E"/>
    <w:rsid w:val="00370216"/>
    <w:rsid w:val="003756F2"/>
    <w:rsid w:val="00380871"/>
    <w:rsid w:val="00381397"/>
    <w:rsid w:val="00382EA8"/>
    <w:rsid w:val="00385402"/>
    <w:rsid w:val="00387158"/>
    <w:rsid w:val="00387E4E"/>
    <w:rsid w:val="00391FB9"/>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C89"/>
    <w:rsid w:val="003E2233"/>
    <w:rsid w:val="003E2804"/>
    <w:rsid w:val="003E369B"/>
    <w:rsid w:val="003E6A14"/>
    <w:rsid w:val="003E7EDF"/>
    <w:rsid w:val="003F0204"/>
    <w:rsid w:val="003F7807"/>
    <w:rsid w:val="003F7A14"/>
    <w:rsid w:val="00400C92"/>
    <w:rsid w:val="0040137C"/>
    <w:rsid w:val="004023E1"/>
    <w:rsid w:val="004053D4"/>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3B63"/>
    <w:rsid w:val="00445CED"/>
    <w:rsid w:val="00447784"/>
    <w:rsid w:val="004505E8"/>
    <w:rsid w:val="004511A1"/>
    <w:rsid w:val="00452394"/>
    <w:rsid w:val="0045318C"/>
    <w:rsid w:val="00456A37"/>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502116"/>
    <w:rsid w:val="00503263"/>
    <w:rsid w:val="005032E7"/>
    <w:rsid w:val="00504D5D"/>
    <w:rsid w:val="00506EDE"/>
    <w:rsid w:val="00510C22"/>
    <w:rsid w:val="00511246"/>
    <w:rsid w:val="005121D8"/>
    <w:rsid w:val="005156CF"/>
    <w:rsid w:val="00515CEC"/>
    <w:rsid w:val="00523260"/>
    <w:rsid w:val="0052523D"/>
    <w:rsid w:val="00525250"/>
    <w:rsid w:val="00525FBA"/>
    <w:rsid w:val="005300C8"/>
    <w:rsid w:val="00530CF9"/>
    <w:rsid w:val="00531529"/>
    <w:rsid w:val="005318C7"/>
    <w:rsid w:val="00531D6E"/>
    <w:rsid w:val="00532545"/>
    <w:rsid w:val="00532698"/>
    <w:rsid w:val="00533095"/>
    <w:rsid w:val="00533D6D"/>
    <w:rsid w:val="00535BFB"/>
    <w:rsid w:val="00540263"/>
    <w:rsid w:val="00540BF7"/>
    <w:rsid w:val="005428FF"/>
    <w:rsid w:val="00542FD2"/>
    <w:rsid w:val="005447D0"/>
    <w:rsid w:val="00546B67"/>
    <w:rsid w:val="005578CB"/>
    <w:rsid w:val="005579A5"/>
    <w:rsid w:val="00561FD4"/>
    <w:rsid w:val="00563E83"/>
    <w:rsid w:val="0056674D"/>
    <w:rsid w:val="005766E0"/>
    <w:rsid w:val="00577426"/>
    <w:rsid w:val="00591483"/>
    <w:rsid w:val="00591A6C"/>
    <w:rsid w:val="00593737"/>
    <w:rsid w:val="005972A7"/>
    <w:rsid w:val="005978DB"/>
    <w:rsid w:val="00597AA2"/>
    <w:rsid w:val="005A2507"/>
    <w:rsid w:val="005A2803"/>
    <w:rsid w:val="005A57FA"/>
    <w:rsid w:val="005A583E"/>
    <w:rsid w:val="005A5BEC"/>
    <w:rsid w:val="005A7087"/>
    <w:rsid w:val="005A74FE"/>
    <w:rsid w:val="005B2823"/>
    <w:rsid w:val="005B465B"/>
    <w:rsid w:val="005B6F1F"/>
    <w:rsid w:val="005C0755"/>
    <w:rsid w:val="005C2C87"/>
    <w:rsid w:val="005C52A3"/>
    <w:rsid w:val="005C56A6"/>
    <w:rsid w:val="005D234B"/>
    <w:rsid w:val="005D242A"/>
    <w:rsid w:val="005E06F0"/>
    <w:rsid w:val="005E4831"/>
    <w:rsid w:val="005E6F3F"/>
    <w:rsid w:val="005F3429"/>
    <w:rsid w:val="005F3B68"/>
    <w:rsid w:val="005F40F5"/>
    <w:rsid w:val="005F6B28"/>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79A"/>
    <w:rsid w:val="00751AB1"/>
    <w:rsid w:val="007553D4"/>
    <w:rsid w:val="00760AD1"/>
    <w:rsid w:val="00761133"/>
    <w:rsid w:val="007619FB"/>
    <w:rsid w:val="00763AF2"/>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3BB3"/>
    <w:rsid w:val="00804036"/>
    <w:rsid w:val="008071A7"/>
    <w:rsid w:val="00807CCB"/>
    <w:rsid w:val="008101FC"/>
    <w:rsid w:val="008108E8"/>
    <w:rsid w:val="0081353F"/>
    <w:rsid w:val="00816407"/>
    <w:rsid w:val="00825809"/>
    <w:rsid w:val="00825F93"/>
    <w:rsid w:val="00831982"/>
    <w:rsid w:val="0083257F"/>
    <w:rsid w:val="00837AFC"/>
    <w:rsid w:val="008434BA"/>
    <w:rsid w:val="00845D24"/>
    <w:rsid w:val="00851093"/>
    <w:rsid w:val="008522DF"/>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4B86"/>
    <w:rsid w:val="009006A5"/>
    <w:rsid w:val="00900ABC"/>
    <w:rsid w:val="00902B37"/>
    <w:rsid w:val="0090700F"/>
    <w:rsid w:val="00911F70"/>
    <w:rsid w:val="009120EB"/>
    <w:rsid w:val="00914F38"/>
    <w:rsid w:val="00917F97"/>
    <w:rsid w:val="00924AA2"/>
    <w:rsid w:val="009258C6"/>
    <w:rsid w:val="00930A02"/>
    <w:rsid w:val="00931FBC"/>
    <w:rsid w:val="009401C7"/>
    <w:rsid w:val="009526A4"/>
    <w:rsid w:val="00953CA5"/>
    <w:rsid w:val="0096004A"/>
    <w:rsid w:val="00961770"/>
    <w:rsid w:val="00962660"/>
    <w:rsid w:val="00963F04"/>
    <w:rsid w:val="009651B9"/>
    <w:rsid w:val="0097202A"/>
    <w:rsid w:val="00972E3C"/>
    <w:rsid w:val="009750E5"/>
    <w:rsid w:val="0097636F"/>
    <w:rsid w:val="009766BD"/>
    <w:rsid w:val="00976EA8"/>
    <w:rsid w:val="009775C5"/>
    <w:rsid w:val="0098130D"/>
    <w:rsid w:val="00985EBE"/>
    <w:rsid w:val="009860F5"/>
    <w:rsid w:val="00992545"/>
    <w:rsid w:val="00994C10"/>
    <w:rsid w:val="00997E5D"/>
    <w:rsid w:val="009A56D9"/>
    <w:rsid w:val="009A664B"/>
    <w:rsid w:val="009A7FC5"/>
    <w:rsid w:val="009B0294"/>
    <w:rsid w:val="009B0462"/>
    <w:rsid w:val="009B0DBA"/>
    <w:rsid w:val="009B267A"/>
    <w:rsid w:val="009B542F"/>
    <w:rsid w:val="009B6E5E"/>
    <w:rsid w:val="009C11B1"/>
    <w:rsid w:val="009C402F"/>
    <w:rsid w:val="009D587E"/>
    <w:rsid w:val="009D680A"/>
    <w:rsid w:val="009D7E35"/>
    <w:rsid w:val="009E5AB7"/>
    <w:rsid w:val="009E65F6"/>
    <w:rsid w:val="009E74DA"/>
    <w:rsid w:val="009F2039"/>
    <w:rsid w:val="009F26A6"/>
    <w:rsid w:val="009F2D9A"/>
    <w:rsid w:val="009F4734"/>
    <w:rsid w:val="009F4B6B"/>
    <w:rsid w:val="009F58D0"/>
    <w:rsid w:val="009F79DC"/>
    <w:rsid w:val="00A00DE4"/>
    <w:rsid w:val="00A034D6"/>
    <w:rsid w:val="00A04B4B"/>
    <w:rsid w:val="00A06A2B"/>
    <w:rsid w:val="00A07231"/>
    <w:rsid w:val="00A07BF1"/>
    <w:rsid w:val="00A1609F"/>
    <w:rsid w:val="00A22594"/>
    <w:rsid w:val="00A22FC1"/>
    <w:rsid w:val="00A258C2"/>
    <w:rsid w:val="00A261DF"/>
    <w:rsid w:val="00A276D0"/>
    <w:rsid w:val="00A305BA"/>
    <w:rsid w:val="00A35122"/>
    <w:rsid w:val="00A354D5"/>
    <w:rsid w:val="00A405DB"/>
    <w:rsid w:val="00A54E67"/>
    <w:rsid w:val="00A57051"/>
    <w:rsid w:val="00A602B0"/>
    <w:rsid w:val="00A60666"/>
    <w:rsid w:val="00A60DB0"/>
    <w:rsid w:val="00A618D1"/>
    <w:rsid w:val="00A71CCB"/>
    <w:rsid w:val="00A72D3C"/>
    <w:rsid w:val="00A772EF"/>
    <w:rsid w:val="00A77F8A"/>
    <w:rsid w:val="00A82FEA"/>
    <w:rsid w:val="00A8408D"/>
    <w:rsid w:val="00AA4A78"/>
    <w:rsid w:val="00AA5259"/>
    <w:rsid w:val="00AA7CF3"/>
    <w:rsid w:val="00AB0454"/>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598C"/>
    <w:rsid w:val="00B05C4B"/>
    <w:rsid w:val="00B05D21"/>
    <w:rsid w:val="00B10D6F"/>
    <w:rsid w:val="00B124AA"/>
    <w:rsid w:val="00B219FF"/>
    <w:rsid w:val="00B227C4"/>
    <w:rsid w:val="00B229A7"/>
    <w:rsid w:val="00B23A76"/>
    <w:rsid w:val="00B269D8"/>
    <w:rsid w:val="00B26FFA"/>
    <w:rsid w:val="00B40B55"/>
    <w:rsid w:val="00B415F0"/>
    <w:rsid w:val="00B4627C"/>
    <w:rsid w:val="00B47959"/>
    <w:rsid w:val="00B500C3"/>
    <w:rsid w:val="00B50C53"/>
    <w:rsid w:val="00B544F0"/>
    <w:rsid w:val="00B545A7"/>
    <w:rsid w:val="00B60382"/>
    <w:rsid w:val="00B63D1C"/>
    <w:rsid w:val="00B65D67"/>
    <w:rsid w:val="00B715D6"/>
    <w:rsid w:val="00B7167E"/>
    <w:rsid w:val="00B7392D"/>
    <w:rsid w:val="00B74005"/>
    <w:rsid w:val="00B80A64"/>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C2"/>
    <w:rsid w:val="00BD72A1"/>
    <w:rsid w:val="00BE11A5"/>
    <w:rsid w:val="00BE546A"/>
    <w:rsid w:val="00BF7038"/>
    <w:rsid w:val="00BF7AAD"/>
    <w:rsid w:val="00C0001A"/>
    <w:rsid w:val="00C00074"/>
    <w:rsid w:val="00C06CDD"/>
    <w:rsid w:val="00C1061F"/>
    <w:rsid w:val="00C11B55"/>
    <w:rsid w:val="00C11CB1"/>
    <w:rsid w:val="00C16E0E"/>
    <w:rsid w:val="00C229B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3E94"/>
    <w:rsid w:val="00CA406B"/>
    <w:rsid w:val="00CB0CB0"/>
    <w:rsid w:val="00CB0ED4"/>
    <w:rsid w:val="00CB1EFF"/>
    <w:rsid w:val="00CB4C4E"/>
    <w:rsid w:val="00CB5DCD"/>
    <w:rsid w:val="00CB682F"/>
    <w:rsid w:val="00CB7A61"/>
    <w:rsid w:val="00CC64CA"/>
    <w:rsid w:val="00CC68BB"/>
    <w:rsid w:val="00CD4387"/>
    <w:rsid w:val="00CE0215"/>
    <w:rsid w:val="00CE6A7A"/>
    <w:rsid w:val="00CF025B"/>
    <w:rsid w:val="00CF0602"/>
    <w:rsid w:val="00CF1711"/>
    <w:rsid w:val="00CF1C87"/>
    <w:rsid w:val="00CF1E9D"/>
    <w:rsid w:val="00CF22B9"/>
    <w:rsid w:val="00CF3F70"/>
    <w:rsid w:val="00D0233D"/>
    <w:rsid w:val="00D0240D"/>
    <w:rsid w:val="00D0436A"/>
    <w:rsid w:val="00D111F5"/>
    <w:rsid w:val="00D12861"/>
    <w:rsid w:val="00D14DDC"/>
    <w:rsid w:val="00D20378"/>
    <w:rsid w:val="00D24A4B"/>
    <w:rsid w:val="00D31B0E"/>
    <w:rsid w:val="00D3376F"/>
    <w:rsid w:val="00D350A6"/>
    <w:rsid w:val="00D3783E"/>
    <w:rsid w:val="00D41CFB"/>
    <w:rsid w:val="00D43FD9"/>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91190"/>
    <w:rsid w:val="00D91D3F"/>
    <w:rsid w:val="00D91FDE"/>
    <w:rsid w:val="00D9781D"/>
    <w:rsid w:val="00DA005F"/>
    <w:rsid w:val="00DA0942"/>
    <w:rsid w:val="00DA0D04"/>
    <w:rsid w:val="00DB11AA"/>
    <w:rsid w:val="00DB4191"/>
    <w:rsid w:val="00DC17C3"/>
    <w:rsid w:val="00DC2CBA"/>
    <w:rsid w:val="00DC33A5"/>
    <w:rsid w:val="00DC33AD"/>
    <w:rsid w:val="00DC34D3"/>
    <w:rsid w:val="00DC4940"/>
    <w:rsid w:val="00DC495A"/>
    <w:rsid w:val="00DC5266"/>
    <w:rsid w:val="00DD46A3"/>
    <w:rsid w:val="00DD50B4"/>
    <w:rsid w:val="00DD739B"/>
    <w:rsid w:val="00DD760F"/>
    <w:rsid w:val="00DE4B08"/>
    <w:rsid w:val="00DE7014"/>
    <w:rsid w:val="00DE7BB8"/>
    <w:rsid w:val="00DF2BAA"/>
    <w:rsid w:val="00DF2F90"/>
    <w:rsid w:val="00DF45FF"/>
    <w:rsid w:val="00DF7755"/>
    <w:rsid w:val="00E01250"/>
    <w:rsid w:val="00E05701"/>
    <w:rsid w:val="00E0753C"/>
    <w:rsid w:val="00E11488"/>
    <w:rsid w:val="00E12B5E"/>
    <w:rsid w:val="00E16F62"/>
    <w:rsid w:val="00E22D17"/>
    <w:rsid w:val="00E26992"/>
    <w:rsid w:val="00E30502"/>
    <w:rsid w:val="00E359B9"/>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718A6"/>
    <w:rsid w:val="00E80FBE"/>
    <w:rsid w:val="00E82183"/>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878"/>
    <w:rsid w:val="00F47518"/>
    <w:rsid w:val="00F5261B"/>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70C"/>
    <w:rsid w:val="00FA4749"/>
    <w:rsid w:val="00FA53B1"/>
    <w:rsid w:val="00FA6F2C"/>
    <w:rsid w:val="00FB0CC5"/>
    <w:rsid w:val="00FB0D21"/>
    <w:rsid w:val="00FB29FB"/>
    <w:rsid w:val="00FB3BFF"/>
    <w:rsid w:val="00FB3EB6"/>
    <w:rsid w:val="00FB5D65"/>
    <w:rsid w:val="00FC2047"/>
    <w:rsid w:val="00FC2763"/>
    <w:rsid w:val="00FC322D"/>
    <w:rsid w:val="00FD13B7"/>
    <w:rsid w:val="00FD56CC"/>
    <w:rsid w:val="00FD5A54"/>
    <w:rsid w:val="00FD5D76"/>
    <w:rsid w:val="00FD6179"/>
    <w:rsid w:val="00FD6E37"/>
    <w:rsid w:val="00FD7A4A"/>
    <w:rsid w:val="00FE0406"/>
    <w:rsid w:val="00FE0D65"/>
    <w:rsid w:val="00FE2A23"/>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Documento_de_Microsoft_Word_97-20031.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ocumento_de_Microsoft_Word1.doc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8830-4B1B-4198-B54F-42595036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1537</Words>
  <Characters>8458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80</cp:revision>
  <cp:lastPrinted>2017-05-10T19:33:00Z</cp:lastPrinted>
  <dcterms:created xsi:type="dcterms:W3CDTF">2016-10-05T20:00:00Z</dcterms:created>
  <dcterms:modified xsi:type="dcterms:W3CDTF">2017-05-10T19:33:00Z</dcterms:modified>
</cp:coreProperties>
</file>