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6E6D3E">
        <w:rPr>
          <w:rFonts w:ascii="Arial" w:hAnsi="Arial" w:cs="Arial"/>
          <w:b/>
          <w:bCs/>
          <w:iCs/>
          <w:sz w:val="26"/>
          <w:szCs w:val="22"/>
          <w:lang w:val="es-CR"/>
        </w:rPr>
        <w:t>343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1F3E92" w:rsidRDefault="006E6D3E" w:rsidP="002029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6E6D3E">
              <w:rPr>
                <w:rFonts w:ascii="Arial" w:hAnsi="Arial" w:cs="Arial"/>
                <w:sz w:val="22"/>
                <w:szCs w:val="22"/>
                <w:lang w:val="es-CR"/>
              </w:rPr>
              <w:t>Dr. Humberto Villalta, Vicerrector de Administración</w:t>
            </w:r>
          </w:p>
          <w:p w:rsidR="00C21660" w:rsidRDefault="00C21660" w:rsidP="002029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sz w:val="22"/>
                <w:szCs w:val="22"/>
                <w:lang w:val="es-CR"/>
              </w:rPr>
              <w:t>Lic. Florencio Prendas, Director Departamento Servicios Generales</w:t>
            </w:r>
          </w:p>
          <w:p w:rsidR="006E6D3E" w:rsidRDefault="006E6D3E" w:rsidP="002029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sz w:val="22"/>
                <w:szCs w:val="22"/>
                <w:lang w:val="es-CR"/>
              </w:rPr>
              <w:t xml:space="preserve">Sr. Henry Alfaro, Presidente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R"/>
              </w:rPr>
              <w:t>FEITEC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</w:p>
          <w:p w:rsidR="006E6D3E" w:rsidRPr="006E6D3E" w:rsidRDefault="006E6D3E" w:rsidP="002029D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2029D9" w:rsidP="002029D9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07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junio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5E6C51" w:rsidRPr="006E6D3E" w:rsidRDefault="007742A1" w:rsidP="002029D9">
            <w:pPr>
              <w:ind w:left="-74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2029D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1A33C3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6E6D3E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2029D9">
              <w:rPr>
                <w:rFonts w:ascii="Arial" w:eastAsia="Calibri" w:hAnsi="Arial" w:cs="Arial"/>
                <w:b/>
                <w:sz w:val="22"/>
                <w:szCs w:val="22"/>
              </w:rPr>
              <w:t>07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2029D9">
              <w:rPr>
                <w:rFonts w:ascii="Arial" w:eastAsia="Calibri" w:hAnsi="Arial" w:cs="Arial"/>
                <w:b/>
                <w:sz w:val="22"/>
                <w:szCs w:val="22"/>
              </w:rPr>
              <w:t>junio</w:t>
            </w:r>
            <w:r w:rsidR="007A2D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6E6D3E" w:rsidRPr="006E6D3E">
              <w:rPr>
                <w:rFonts w:ascii="Arial" w:hAnsi="Arial" w:cs="Arial"/>
                <w:b/>
                <w:sz w:val="22"/>
                <w:szCs w:val="22"/>
                <w:lang w:val="es-CR"/>
              </w:rPr>
              <w:t>Estudio Integral del servicio de transporte público de la ruta Cartago-TEC y Viceversa</w:t>
            </w:r>
          </w:p>
          <w:p w:rsidR="002029D9" w:rsidRDefault="002029D9" w:rsidP="002029D9">
            <w:pPr>
              <w:ind w:left="-74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029D9" w:rsidRPr="00DC4940" w:rsidRDefault="002029D9" w:rsidP="002029D9">
            <w:pPr>
              <w:ind w:left="-74"/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6E6D3E" w:rsidRDefault="006E6D3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6E6D3E" w:rsidRPr="006E6D3E" w:rsidRDefault="006E6D3E" w:rsidP="006E6D3E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6E6D3E">
        <w:rPr>
          <w:rFonts w:ascii="Arial" w:hAnsi="Arial" w:cs="Arial"/>
          <w:b/>
          <w:lang w:val="es-CR"/>
        </w:rPr>
        <w:t>RESULTANDO QUE:</w:t>
      </w:r>
    </w:p>
    <w:p w:rsidR="006E6D3E" w:rsidRPr="006E6D3E" w:rsidRDefault="006E6D3E" w:rsidP="006E6D3E">
      <w:pPr>
        <w:ind w:left="1320" w:hanging="1320"/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numPr>
          <w:ilvl w:val="0"/>
          <w:numId w:val="7"/>
        </w:numPr>
        <w:ind w:left="392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 xml:space="preserve">El Consejo Institucional en la Sesión Ordinaria No. </w:t>
      </w:r>
      <w:r w:rsidRPr="006E6D3E">
        <w:rPr>
          <w:rFonts w:ascii="Arial" w:hAnsi="Arial" w:cs="Arial"/>
        </w:rPr>
        <w:t>3004 Artículo 14, del 14 de diciembre de 2016, acordó:  “</w:t>
      </w:r>
      <w:r w:rsidRPr="006E6D3E">
        <w:rPr>
          <w:rFonts w:ascii="Arial" w:hAnsi="Arial" w:cs="Arial"/>
          <w:i/>
          <w:sz w:val="22"/>
          <w:szCs w:val="22"/>
        </w:rPr>
        <w:t>Revisión y análisis del tema transporte de público de la ruta Cartago-TEC y viceversa</w:t>
      </w:r>
      <w:r w:rsidRPr="006E6D3E">
        <w:rPr>
          <w:rFonts w:ascii="Arial" w:hAnsi="Arial" w:cs="Arial"/>
          <w:i/>
        </w:rPr>
        <w:t xml:space="preserve">”, </w:t>
      </w:r>
      <w:r w:rsidRPr="006E6D3E">
        <w:rPr>
          <w:rFonts w:ascii="Arial" w:hAnsi="Arial" w:cs="Arial"/>
          <w:lang w:val="es-CR"/>
        </w:rPr>
        <w:t>que dice:</w:t>
      </w:r>
    </w:p>
    <w:p w:rsidR="006E6D3E" w:rsidRPr="006E6D3E" w:rsidRDefault="006E6D3E" w:rsidP="006E6D3E">
      <w:pPr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ind w:left="1134" w:right="425" w:hanging="567"/>
        <w:jc w:val="both"/>
        <w:rPr>
          <w:rFonts w:ascii="Arial" w:hAnsi="Arial" w:cs="Arial"/>
          <w:i/>
          <w:color w:val="000000"/>
          <w:sz w:val="22"/>
          <w:szCs w:val="22"/>
          <w:lang w:val="es-CR" w:eastAsia="es-CR"/>
        </w:rPr>
      </w:pPr>
      <w:r w:rsidRPr="006E6D3E">
        <w:rPr>
          <w:rFonts w:ascii="Arial" w:hAnsi="Arial" w:cs="Arial"/>
          <w:i/>
          <w:color w:val="000000"/>
          <w:sz w:val="22"/>
          <w:szCs w:val="22"/>
          <w:lang w:val="es-CR" w:eastAsia="es-CR"/>
        </w:rPr>
        <w:t>“a.</w:t>
      </w:r>
      <w:r w:rsidRPr="006E6D3E">
        <w:rPr>
          <w:rFonts w:ascii="Arial" w:hAnsi="Arial" w:cs="Arial"/>
          <w:i/>
          <w:color w:val="000000"/>
          <w:sz w:val="22"/>
          <w:szCs w:val="22"/>
          <w:lang w:val="es-CR" w:eastAsia="es-CR"/>
        </w:rPr>
        <w:tab/>
        <w:t xml:space="preserve">Solicitar a la Administración:  </w:t>
      </w:r>
    </w:p>
    <w:p w:rsidR="006E6D3E" w:rsidRPr="006E6D3E" w:rsidRDefault="006E6D3E" w:rsidP="006E6D3E">
      <w:pPr>
        <w:ind w:left="66"/>
        <w:contextualSpacing/>
        <w:jc w:val="both"/>
        <w:rPr>
          <w:rFonts w:ascii="Arial" w:hAnsi="Arial" w:cs="Arial"/>
          <w:sz w:val="20"/>
          <w:szCs w:val="20"/>
          <w:lang w:val="es-CR"/>
        </w:rPr>
      </w:pPr>
    </w:p>
    <w:p w:rsidR="006E6D3E" w:rsidRPr="006E6D3E" w:rsidRDefault="006E6D3E" w:rsidP="006E6D3E">
      <w:pPr>
        <w:ind w:left="1843" w:right="425" w:hanging="709"/>
        <w:contextualSpacing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6E6D3E">
        <w:rPr>
          <w:rFonts w:ascii="Arial" w:hAnsi="Arial" w:cs="Arial"/>
          <w:b/>
          <w:i/>
          <w:sz w:val="20"/>
          <w:szCs w:val="20"/>
          <w:lang w:val="es-CR"/>
        </w:rPr>
        <w:t>a.1.</w:t>
      </w:r>
      <w:r w:rsidRPr="006E6D3E">
        <w:rPr>
          <w:rFonts w:ascii="Arial" w:hAnsi="Arial" w:cs="Arial"/>
          <w:b/>
          <w:i/>
          <w:sz w:val="20"/>
          <w:szCs w:val="20"/>
          <w:lang w:val="es-CR"/>
        </w:rPr>
        <w:tab/>
      </w:r>
      <w:r w:rsidRPr="006E6D3E">
        <w:rPr>
          <w:rFonts w:ascii="Arial" w:hAnsi="Arial" w:cs="Arial"/>
          <w:i/>
          <w:sz w:val="20"/>
          <w:szCs w:val="20"/>
          <w:lang w:val="es-CR"/>
        </w:rPr>
        <w:t>Realizar un estudio integral del servicio de transporte público de la ruta Cartago-TEC y Viceversa, que sirva de base para la determinación de la tarifa y el subsidio correspondiente y presentar dicho estudio al Consejo Institucional, a más tardar el 30 de marzo del 2017.</w:t>
      </w:r>
    </w:p>
    <w:p w:rsidR="006E6D3E" w:rsidRPr="006E6D3E" w:rsidRDefault="006E6D3E" w:rsidP="006E6D3E">
      <w:pPr>
        <w:ind w:left="1843" w:right="425" w:hanging="709"/>
        <w:rPr>
          <w:rFonts w:ascii="Arial" w:hAnsi="Arial" w:cs="Arial"/>
          <w:i/>
          <w:sz w:val="20"/>
          <w:szCs w:val="20"/>
          <w:lang w:val="es-CR"/>
        </w:rPr>
      </w:pPr>
    </w:p>
    <w:p w:rsidR="006E6D3E" w:rsidRPr="006E6D3E" w:rsidRDefault="006E6D3E" w:rsidP="006E6D3E">
      <w:pPr>
        <w:ind w:left="1843" w:right="425" w:hanging="709"/>
        <w:contextualSpacing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6E6D3E">
        <w:rPr>
          <w:rFonts w:ascii="Arial" w:hAnsi="Arial" w:cs="Arial"/>
          <w:b/>
          <w:i/>
          <w:sz w:val="20"/>
          <w:szCs w:val="20"/>
          <w:lang w:val="es-CR"/>
        </w:rPr>
        <w:t>a.2</w:t>
      </w:r>
      <w:r w:rsidRPr="006E6D3E">
        <w:rPr>
          <w:rFonts w:ascii="Arial" w:hAnsi="Arial" w:cs="Arial"/>
          <w:i/>
          <w:sz w:val="20"/>
          <w:szCs w:val="20"/>
          <w:lang w:val="es-CR"/>
        </w:rPr>
        <w:t xml:space="preserve">. </w:t>
      </w:r>
      <w:r w:rsidRPr="006E6D3E">
        <w:rPr>
          <w:rFonts w:ascii="Arial" w:hAnsi="Arial" w:cs="Arial"/>
          <w:i/>
          <w:sz w:val="20"/>
          <w:szCs w:val="20"/>
          <w:lang w:val="es-CR"/>
        </w:rPr>
        <w:tab/>
        <w:t>Implementar los controles necesarios de conformidad con los Lineamientos establecidos en el oficio SG-392-2016.</w:t>
      </w:r>
    </w:p>
    <w:p w:rsidR="006E6D3E" w:rsidRPr="006E6D3E" w:rsidRDefault="006E6D3E" w:rsidP="006E6D3E">
      <w:pPr>
        <w:ind w:left="1843" w:right="425" w:hanging="709"/>
        <w:rPr>
          <w:rFonts w:ascii="Arial" w:hAnsi="Arial" w:cs="Arial"/>
          <w:i/>
          <w:sz w:val="20"/>
          <w:szCs w:val="20"/>
          <w:lang w:val="es-CR"/>
        </w:rPr>
      </w:pPr>
    </w:p>
    <w:p w:rsidR="006E6D3E" w:rsidRPr="006E6D3E" w:rsidRDefault="006E6D3E" w:rsidP="006E6D3E">
      <w:pPr>
        <w:ind w:left="1843" w:right="425" w:hanging="709"/>
        <w:contextualSpacing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6E6D3E">
        <w:rPr>
          <w:rFonts w:ascii="Arial" w:hAnsi="Arial" w:cs="Arial"/>
          <w:b/>
          <w:i/>
          <w:sz w:val="20"/>
          <w:szCs w:val="20"/>
          <w:lang w:val="es-CR"/>
        </w:rPr>
        <w:t>a.3.</w:t>
      </w:r>
      <w:r w:rsidRPr="006E6D3E">
        <w:rPr>
          <w:rFonts w:ascii="Arial" w:hAnsi="Arial" w:cs="Arial"/>
          <w:i/>
          <w:sz w:val="20"/>
          <w:szCs w:val="20"/>
          <w:lang w:val="es-CR"/>
        </w:rPr>
        <w:t xml:space="preserve"> </w:t>
      </w:r>
      <w:r w:rsidRPr="006E6D3E">
        <w:rPr>
          <w:rFonts w:ascii="Arial" w:hAnsi="Arial" w:cs="Arial"/>
          <w:i/>
          <w:sz w:val="20"/>
          <w:szCs w:val="20"/>
          <w:lang w:val="es-CR"/>
        </w:rPr>
        <w:tab/>
        <w:t xml:space="preserve">Implementar un mecanismo de control electrónico por parte de la Institución, para determinar la demanda de este servicio con mayor certeza. </w:t>
      </w:r>
    </w:p>
    <w:p w:rsidR="006E6D3E" w:rsidRPr="006E6D3E" w:rsidRDefault="006E6D3E" w:rsidP="006E6D3E">
      <w:pPr>
        <w:tabs>
          <w:tab w:val="left" w:pos="1134"/>
        </w:tabs>
        <w:ind w:left="1843" w:right="567" w:hanging="709"/>
        <w:jc w:val="both"/>
        <w:rPr>
          <w:rFonts w:ascii="Arial" w:hAnsi="Arial" w:cs="Arial"/>
          <w:sz w:val="20"/>
          <w:szCs w:val="20"/>
          <w:lang w:val="es-CR"/>
        </w:rPr>
      </w:pPr>
    </w:p>
    <w:p w:rsidR="006E6D3E" w:rsidRPr="006E6D3E" w:rsidRDefault="006E6D3E" w:rsidP="006E6D3E">
      <w:pPr>
        <w:ind w:left="1134" w:right="425" w:hanging="567"/>
        <w:jc w:val="both"/>
        <w:rPr>
          <w:rFonts w:ascii="Arial" w:hAnsi="Arial" w:cs="Arial"/>
          <w:i/>
          <w:color w:val="000000"/>
          <w:sz w:val="22"/>
          <w:szCs w:val="22"/>
          <w:lang w:val="es-CR" w:eastAsia="es-CR"/>
        </w:rPr>
      </w:pPr>
      <w:proofErr w:type="gramStart"/>
      <w:r w:rsidRPr="006E6D3E">
        <w:rPr>
          <w:rFonts w:ascii="Arial" w:hAnsi="Arial" w:cs="Arial"/>
          <w:i/>
          <w:color w:val="000000"/>
          <w:sz w:val="22"/>
          <w:szCs w:val="22"/>
          <w:lang w:val="es-CR" w:eastAsia="es-CR"/>
        </w:rPr>
        <w:t>b.  Comunicar</w:t>
      </w:r>
      <w:proofErr w:type="gramEnd"/>
      <w:r w:rsidRPr="006E6D3E">
        <w:rPr>
          <w:rFonts w:ascii="Arial" w:hAnsi="Arial" w:cs="Arial"/>
          <w:i/>
          <w:color w:val="000000"/>
          <w:sz w:val="22"/>
          <w:szCs w:val="22"/>
          <w:lang w:val="es-CR" w:eastAsia="es-CR"/>
        </w:rPr>
        <w:t>.  ACUERDO FIRME</w:t>
      </w:r>
      <w:r>
        <w:rPr>
          <w:rFonts w:ascii="Arial" w:hAnsi="Arial" w:cs="Arial"/>
          <w:i/>
          <w:color w:val="000000"/>
          <w:sz w:val="22"/>
          <w:szCs w:val="22"/>
          <w:lang w:val="es-CR" w:eastAsia="es-CR"/>
        </w:rPr>
        <w:t>”</w:t>
      </w:r>
      <w:r w:rsidRPr="006E6D3E">
        <w:rPr>
          <w:rFonts w:ascii="Arial" w:hAnsi="Arial" w:cs="Arial"/>
          <w:i/>
          <w:color w:val="000000"/>
          <w:sz w:val="22"/>
          <w:szCs w:val="22"/>
          <w:lang w:val="es-CR" w:eastAsia="es-CR"/>
        </w:rPr>
        <w:t>.</w:t>
      </w:r>
    </w:p>
    <w:p w:rsidR="006E6D3E" w:rsidRPr="006E6D3E" w:rsidRDefault="006E6D3E" w:rsidP="006E6D3E">
      <w:pPr>
        <w:ind w:right="425"/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6E6D3E">
        <w:rPr>
          <w:rFonts w:ascii="Arial" w:hAnsi="Arial" w:cs="Arial"/>
          <w:b/>
          <w:lang w:val="es-CR"/>
        </w:rPr>
        <w:t>CONSIDERANDO QUE:</w:t>
      </w:r>
    </w:p>
    <w:p w:rsidR="006E6D3E" w:rsidRPr="006E6D3E" w:rsidRDefault="006E6D3E" w:rsidP="006E6D3E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6E6D3E" w:rsidRPr="006E6D3E" w:rsidRDefault="006E6D3E" w:rsidP="006E6D3E">
      <w:pPr>
        <w:numPr>
          <w:ilvl w:val="0"/>
          <w:numId w:val="9"/>
        </w:numPr>
        <w:ind w:left="392"/>
        <w:jc w:val="both"/>
        <w:rPr>
          <w:rFonts w:ascii="Arial" w:hAnsi="Arial" w:cs="Arial"/>
          <w:b/>
          <w:lang w:val="es-CR"/>
        </w:rPr>
      </w:pPr>
      <w:r w:rsidRPr="006E6D3E">
        <w:rPr>
          <w:rFonts w:ascii="Arial" w:hAnsi="Arial" w:cs="Arial"/>
          <w:lang w:val="es-CR"/>
        </w:rPr>
        <w:t xml:space="preserve">La Secretaría del Consejo Institucional recibió oficio VAD-253-2017, con fecha de recibido 06 de abril de 2017, suscrito por el Dr. Humberto Villalta, Vicerrector de Administración, dirigido al Ing. Alexander Valerín, Coordinador de la Comisión de Planificación y Administración, en atención a lo solicitado por el Consejo Institucional en la Sesión No. 3004, artículo 14, del 14 de diciembre de 2016, adjunta informe denominado: “Revisión </w:t>
      </w:r>
      <w:r w:rsidRPr="006E6D3E">
        <w:rPr>
          <w:rFonts w:ascii="Arial" w:hAnsi="Arial" w:cs="Arial"/>
        </w:rPr>
        <w:t>y análisis del tema transporte de público de la ruta Cartago-TEC y viceversa</w:t>
      </w:r>
      <w:r w:rsidRPr="006E6D3E">
        <w:rPr>
          <w:rFonts w:ascii="Arial" w:hAnsi="Arial" w:cs="Arial"/>
          <w:lang w:val="es-CR"/>
        </w:rPr>
        <w:t>”. (Anexo 1)</w:t>
      </w:r>
    </w:p>
    <w:p w:rsidR="006E6D3E" w:rsidRPr="006E6D3E" w:rsidRDefault="006E6D3E" w:rsidP="006E6D3E">
      <w:pPr>
        <w:jc w:val="both"/>
        <w:rPr>
          <w:rFonts w:ascii="Arial" w:hAnsi="Arial" w:cs="Arial"/>
          <w:b/>
          <w:lang w:val="es-CR"/>
        </w:rPr>
      </w:pPr>
    </w:p>
    <w:p w:rsidR="006E6D3E" w:rsidRPr="006E6D3E" w:rsidRDefault="006E6D3E" w:rsidP="006E6D3E">
      <w:pPr>
        <w:numPr>
          <w:ilvl w:val="0"/>
          <w:numId w:val="9"/>
        </w:numPr>
        <w:ind w:left="392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lastRenderedPageBreak/>
        <w:t xml:space="preserve">La Comisión de Planificación Administración, en reunión No. 718-2017, realizada el 17 de abril de2017, conoce el informe </w:t>
      </w:r>
      <w:proofErr w:type="spellStart"/>
      <w:r w:rsidRPr="006E6D3E">
        <w:rPr>
          <w:rFonts w:ascii="Arial" w:hAnsi="Arial" w:cs="Arial"/>
          <w:lang w:val="es-CR"/>
        </w:rPr>
        <w:t>supracitado</w:t>
      </w:r>
      <w:proofErr w:type="spellEnd"/>
      <w:r w:rsidRPr="006E6D3E">
        <w:rPr>
          <w:rFonts w:ascii="Arial" w:hAnsi="Arial" w:cs="Arial"/>
          <w:lang w:val="es-CR"/>
        </w:rPr>
        <w:t>, y dispone que el señor William Boniche, Representante Estudiantil, lo revisaría y consultaría con la Representación Estudiantil y presentaría las observaciones en la próxima reunión de la Comisión.</w:t>
      </w:r>
    </w:p>
    <w:p w:rsidR="006E6D3E" w:rsidRPr="006E6D3E" w:rsidRDefault="006E6D3E" w:rsidP="006E6D3E">
      <w:pPr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E6D3E" w:rsidRPr="006E6D3E" w:rsidRDefault="006E6D3E" w:rsidP="006E6D3E">
      <w:pPr>
        <w:numPr>
          <w:ilvl w:val="0"/>
          <w:numId w:val="9"/>
        </w:numPr>
        <w:ind w:left="392"/>
        <w:jc w:val="both"/>
        <w:rPr>
          <w:rFonts w:cs="Arial"/>
          <w:bCs/>
          <w:i/>
          <w:sz w:val="20"/>
          <w:szCs w:val="20"/>
          <w:lang w:val="es-CR"/>
        </w:rPr>
      </w:pPr>
      <w:r w:rsidRPr="006E6D3E">
        <w:rPr>
          <w:rFonts w:ascii="Arial" w:hAnsi="Arial" w:cs="Arial"/>
          <w:lang w:val="es-CR"/>
        </w:rPr>
        <w:t xml:space="preserve">La Comisión de Planificación Administración, en reuniones No. 721-2017, realizada el 08 de mayo de 2017, recibe al Dr. Humberto Villalta, Vicerrector de Administración, Sr. Henry Alfaro, Eddie Gómez Serrano y William Boniche, Representantes Estudiantiles ante el Consejo Institucional para la presentación de las observaciones.  El señor Humberto Villalta, realiza una presentación de costos del estudio: </w:t>
      </w:r>
    </w:p>
    <w:p w:rsidR="006E6D3E" w:rsidRPr="006E6D3E" w:rsidRDefault="006E6D3E" w:rsidP="006E6D3E">
      <w:pPr>
        <w:ind w:left="284"/>
        <w:rPr>
          <w:rFonts w:cs="Arial"/>
          <w:bCs/>
          <w:i/>
          <w:sz w:val="20"/>
          <w:szCs w:val="20"/>
          <w:lang w:val="es-CR"/>
        </w:rPr>
      </w:pPr>
    </w:p>
    <w:p w:rsidR="006E6D3E" w:rsidRPr="006E6D3E" w:rsidRDefault="006E6D3E" w:rsidP="006E6D3E">
      <w:pPr>
        <w:numPr>
          <w:ilvl w:val="1"/>
          <w:numId w:val="8"/>
        </w:numPr>
        <w:ind w:left="993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ES_tradnl"/>
        </w:rPr>
        <w:t>Estimar la demanda anual, con  el objetivo de ver el efecto del subsidio</w:t>
      </w:r>
    </w:p>
    <w:p w:rsidR="006E6D3E" w:rsidRPr="006E6D3E" w:rsidRDefault="006E6D3E" w:rsidP="006E6D3E">
      <w:pPr>
        <w:numPr>
          <w:ilvl w:val="1"/>
          <w:numId w:val="8"/>
        </w:numPr>
        <w:ind w:left="993"/>
        <w:rPr>
          <w:rFonts w:ascii="Arial" w:hAnsi="Arial" w:cs="Arial"/>
          <w:lang w:val="es-ES_tradnl"/>
        </w:rPr>
      </w:pPr>
      <w:r w:rsidRPr="006E6D3E">
        <w:rPr>
          <w:rFonts w:ascii="Arial" w:hAnsi="Arial" w:cs="Arial"/>
          <w:lang w:val="es-ES_tradnl"/>
        </w:rPr>
        <w:t>Conocer la estructura de costos de la ruta.</w:t>
      </w:r>
    </w:p>
    <w:p w:rsidR="006E6D3E" w:rsidRPr="006E6D3E" w:rsidRDefault="006E6D3E" w:rsidP="006E6D3E">
      <w:pPr>
        <w:ind w:left="426"/>
        <w:rPr>
          <w:rFonts w:cs="Arial"/>
          <w:sz w:val="20"/>
          <w:szCs w:val="20"/>
        </w:rPr>
      </w:pPr>
    </w:p>
    <w:p w:rsidR="006E6D3E" w:rsidRPr="006E6D3E" w:rsidRDefault="006E6D3E" w:rsidP="006E6D3E">
      <w:pPr>
        <w:ind w:left="426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>La representación estudiantil propone hacer una nueva estimación para bajar la tarifa a 150 colones el pasaje.  El señor Humberto Villalta se compromete compilar la información y en un plazo de una semana, volver a presentar un informe sobre los mecanismos que se consideren correspondientes para bajar el pasaje a ¢150,00 y subir la subvención a 20 millones, además que sirva de base para la decisión del próximo semestre.</w:t>
      </w:r>
    </w:p>
    <w:p w:rsidR="006E6D3E" w:rsidRPr="006E6D3E" w:rsidRDefault="006E6D3E" w:rsidP="006E6D3E">
      <w:pPr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numPr>
          <w:ilvl w:val="0"/>
          <w:numId w:val="9"/>
        </w:numPr>
        <w:ind w:left="392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 xml:space="preserve">En la reunión de la Comisión de Planificación y Administración No. 722-2017, realizada el 24 de mayo de 2017, se recibe nuevamente al Dr. Humberto Villalta,  Vicerrector de Administración, quien informa que realizó las consultas legales </w:t>
      </w:r>
      <w:r w:rsidR="00C21660">
        <w:rPr>
          <w:rFonts w:ascii="Arial" w:hAnsi="Arial" w:cs="Arial"/>
          <w:lang w:val="es-CR"/>
        </w:rPr>
        <w:t xml:space="preserve">y es factible  hacer un </w:t>
      </w:r>
      <w:proofErr w:type="spellStart"/>
      <w:r w:rsidR="00C21660">
        <w:rPr>
          <w:rFonts w:ascii="Arial" w:hAnsi="Arial" w:cs="Arial"/>
          <w:lang w:val="es-CR"/>
        </w:rPr>
        <w:t>addendum</w:t>
      </w:r>
      <w:proofErr w:type="spellEnd"/>
      <w:r w:rsidRPr="006E6D3E">
        <w:rPr>
          <w:rFonts w:ascii="Arial" w:hAnsi="Arial" w:cs="Arial"/>
          <w:lang w:val="es-CR"/>
        </w:rPr>
        <w:t xml:space="preserve"> para variar las condiciones del  Contrato  de la ruta Cartago-</w:t>
      </w:r>
      <w:proofErr w:type="spellStart"/>
      <w:r w:rsidRPr="006E6D3E">
        <w:rPr>
          <w:rFonts w:ascii="Arial" w:hAnsi="Arial" w:cs="Arial"/>
          <w:lang w:val="es-CR"/>
        </w:rPr>
        <w:t>Tec</w:t>
      </w:r>
      <w:proofErr w:type="spellEnd"/>
      <w:r w:rsidRPr="006E6D3E">
        <w:rPr>
          <w:rFonts w:ascii="Arial" w:hAnsi="Arial" w:cs="Arial"/>
          <w:lang w:val="es-CR"/>
        </w:rPr>
        <w:t xml:space="preserve">, en forma favorable para el concesionario sin lesionar a la Institución,  para bajar la Tarifa de ¢200 a ¢150,00 y el diferencial se cancelará de acuerdo a la cantidad de pasajeros que se determinó en la Licitación, por seis meses. </w:t>
      </w:r>
    </w:p>
    <w:p w:rsidR="006E6D3E" w:rsidRPr="006E6D3E" w:rsidRDefault="006E6D3E" w:rsidP="006E6D3E">
      <w:pPr>
        <w:ind w:left="32"/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ind w:left="426"/>
        <w:rPr>
          <w:rFonts w:ascii="Arial" w:hAnsi="Arial" w:cs="Arial"/>
          <w:lang w:val="es-ES_tradnl"/>
        </w:rPr>
      </w:pPr>
      <w:r w:rsidRPr="006E6D3E">
        <w:rPr>
          <w:rFonts w:ascii="Arial" w:hAnsi="Arial" w:cs="Arial"/>
          <w:lang w:val="es-ES_tradnl"/>
        </w:rPr>
        <w:t>De acuerdo a lo expuesto se considera  importante resaltar:</w:t>
      </w:r>
    </w:p>
    <w:p w:rsidR="006E6D3E" w:rsidRPr="006E6D3E" w:rsidRDefault="006E6D3E" w:rsidP="006E6D3E">
      <w:pPr>
        <w:ind w:left="426"/>
        <w:rPr>
          <w:rFonts w:ascii="Arial" w:hAnsi="Arial" w:cs="Arial"/>
          <w:lang w:val="es-ES_tradnl"/>
        </w:rPr>
      </w:pPr>
      <w:r w:rsidRPr="006E6D3E">
        <w:rPr>
          <w:rFonts w:ascii="Arial" w:hAnsi="Arial" w:cs="Arial"/>
          <w:lang w:val="es-ES_tradnl"/>
        </w:rPr>
        <w:t xml:space="preserve"> </w:t>
      </w:r>
    </w:p>
    <w:p w:rsidR="006E6D3E" w:rsidRPr="006E6D3E" w:rsidRDefault="006E6D3E" w:rsidP="006E6D3E">
      <w:pPr>
        <w:numPr>
          <w:ilvl w:val="1"/>
          <w:numId w:val="8"/>
        </w:numPr>
        <w:ind w:left="993"/>
        <w:rPr>
          <w:rFonts w:ascii="Arial" w:hAnsi="Arial" w:cs="Arial"/>
          <w:lang w:val="es-ES_tradnl"/>
        </w:rPr>
      </w:pPr>
      <w:r w:rsidRPr="006E6D3E">
        <w:rPr>
          <w:rFonts w:ascii="Arial" w:hAnsi="Arial" w:cs="Arial"/>
          <w:lang w:val="es-ES_tradnl"/>
        </w:rPr>
        <w:t xml:space="preserve">bajar la Tarija a ¢150,00 es un beneficio, tanto para estudiantes como para funcionarios, </w:t>
      </w:r>
    </w:p>
    <w:p w:rsidR="006E6D3E" w:rsidRPr="006E6D3E" w:rsidRDefault="006E6D3E" w:rsidP="006E6D3E">
      <w:pPr>
        <w:numPr>
          <w:ilvl w:val="1"/>
          <w:numId w:val="8"/>
        </w:numPr>
        <w:ind w:left="993"/>
        <w:rPr>
          <w:rFonts w:ascii="Arial" w:hAnsi="Arial" w:cs="Arial"/>
          <w:lang w:val="es-ES_tradnl"/>
        </w:rPr>
      </w:pPr>
      <w:r w:rsidRPr="006E6D3E">
        <w:rPr>
          <w:rFonts w:ascii="Arial" w:hAnsi="Arial" w:cs="Arial"/>
          <w:lang w:val="es-ES_tradnl"/>
        </w:rPr>
        <w:t>Se motiva a aumentar el servicio de transporte colectivo</w:t>
      </w:r>
    </w:p>
    <w:p w:rsidR="006E6D3E" w:rsidRPr="006E6D3E" w:rsidRDefault="006E6D3E" w:rsidP="006E6D3E">
      <w:pPr>
        <w:numPr>
          <w:ilvl w:val="1"/>
          <w:numId w:val="8"/>
        </w:numPr>
        <w:ind w:left="993"/>
        <w:rPr>
          <w:rFonts w:ascii="Arial" w:hAnsi="Arial" w:cs="Arial"/>
          <w:lang w:val="es-ES_tradnl"/>
        </w:rPr>
      </w:pPr>
      <w:r w:rsidRPr="006E6D3E">
        <w:rPr>
          <w:rFonts w:ascii="Arial" w:hAnsi="Arial" w:cs="Arial"/>
          <w:lang w:val="es-ES_tradnl"/>
        </w:rPr>
        <w:t xml:space="preserve">Reduce el ingreso de vehículos al Campus </w:t>
      </w:r>
    </w:p>
    <w:p w:rsidR="006E6D3E" w:rsidRPr="006E6D3E" w:rsidRDefault="006E6D3E" w:rsidP="006E6D3E">
      <w:pPr>
        <w:ind w:left="273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ES_tradnl"/>
        </w:rPr>
        <w:t xml:space="preserve"> </w:t>
      </w:r>
    </w:p>
    <w:p w:rsidR="006E6D3E" w:rsidRPr="006E6D3E" w:rsidRDefault="006E6D3E" w:rsidP="006E6D3E">
      <w:pPr>
        <w:ind w:left="426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>Por lo que, se dispone solicitar al Dr. Villalta enviar por escrito el detalle citado.</w:t>
      </w:r>
    </w:p>
    <w:p w:rsidR="006E6D3E" w:rsidRPr="006E6D3E" w:rsidRDefault="006E6D3E" w:rsidP="006E6D3E">
      <w:pPr>
        <w:ind w:left="426"/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numPr>
          <w:ilvl w:val="0"/>
          <w:numId w:val="9"/>
        </w:numPr>
        <w:ind w:left="392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 xml:space="preserve">La Secretaría del Consejo Institucional recibió oficio VAD-381-2017, con fecha de recibido 30 de mayo de 2017, suscrito por el Dr. Humberto Villalta, Vicerrector de Administración, dirigido al Ing. Alexander Valerín, Coordinador de la Comisión de Planificación y Administración, en atención a lo solicitado en la reunión de la Comisión de Planificación 722-2017, informa que según  consulta vía correo electrónico a la </w:t>
      </w:r>
      <w:proofErr w:type="spellStart"/>
      <w:r w:rsidRPr="006E6D3E">
        <w:rPr>
          <w:rFonts w:ascii="Arial" w:hAnsi="Arial" w:cs="Arial"/>
          <w:lang w:val="es-CR"/>
        </w:rPr>
        <w:t>MSc</w:t>
      </w:r>
      <w:proofErr w:type="spellEnd"/>
      <w:r w:rsidRPr="006E6D3E">
        <w:rPr>
          <w:rFonts w:ascii="Arial" w:hAnsi="Arial" w:cs="Arial"/>
          <w:lang w:val="es-CR"/>
        </w:rPr>
        <w:t xml:space="preserve">. Grettel Ortiz Álvarez, Asesora Legal, le indica que no existe ningún problema en gestionar la disminución de tarifa del servicio de transporte Cartago-TEC, para lo cual se requiere de un </w:t>
      </w:r>
      <w:proofErr w:type="spellStart"/>
      <w:r w:rsidRPr="006E6D3E">
        <w:rPr>
          <w:rFonts w:ascii="Arial" w:hAnsi="Arial" w:cs="Arial"/>
          <w:lang w:val="es-CR"/>
        </w:rPr>
        <w:t>addendum</w:t>
      </w:r>
      <w:proofErr w:type="spellEnd"/>
      <w:r w:rsidRPr="006E6D3E">
        <w:rPr>
          <w:rFonts w:ascii="Arial" w:hAnsi="Arial" w:cs="Arial"/>
          <w:lang w:val="es-CR"/>
        </w:rPr>
        <w:t xml:space="preserve"> al contrato actual del concesionario de la ruta que compense la disminución de la tarifa de ¢200 a ¢150 colones.  </w:t>
      </w:r>
    </w:p>
    <w:p w:rsidR="006E6D3E" w:rsidRPr="006E6D3E" w:rsidRDefault="006E6D3E" w:rsidP="006E6D3E">
      <w:pPr>
        <w:ind w:left="350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lastRenderedPageBreak/>
        <w:t>En el mismo oficio informa que se requiere de la autorización del Consejo Institucional para compensar esta disminución en la tarifa, a fin de que pase de 7 millones a 20 millones de colones. De lo anterior el Departamento de Aprovisionamiento en su oportunidad realizó el respectivo estudio que valida esta información.</w:t>
      </w:r>
    </w:p>
    <w:p w:rsidR="006E6D3E" w:rsidRPr="006E6D3E" w:rsidRDefault="006E6D3E" w:rsidP="006E6D3E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6E6D3E" w:rsidRPr="006E6D3E" w:rsidRDefault="006E6D3E" w:rsidP="006E6D3E">
      <w:pPr>
        <w:numPr>
          <w:ilvl w:val="0"/>
          <w:numId w:val="9"/>
        </w:numPr>
        <w:ind w:left="392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>La Comisión de Planificación Administración, en reunión No. 725-2017, realizada el 08 de junio de 2017, revisa la información adjunta al oficio VAD-381-2017 y dispone elevar la siguiente propuesta al Consejo Institucional.</w:t>
      </w:r>
    </w:p>
    <w:p w:rsidR="006E6D3E" w:rsidRPr="006E6D3E" w:rsidRDefault="006E6D3E" w:rsidP="006E6D3E">
      <w:pPr>
        <w:jc w:val="both"/>
        <w:rPr>
          <w:rFonts w:ascii="Arial" w:hAnsi="Arial" w:cs="Arial"/>
          <w:lang w:val="es-CR"/>
        </w:rPr>
      </w:pPr>
    </w:p>
    <w:p w:rsidR="006E6D3E" w:rsidRPr="006E6D3E" w:rsidRDefault="006E6D3E" w:rsidP="006E6D3E">
      <w:pPr>
        <w:jc w:val="both"/>
        <w:rPr>
          <w:rFonts w:ascii="Arial" w:hAnsi="Arial" w:cs="Arial"/>
          <w:b/>
          <w:lang w:val="es-CR"/>
        </w:rPr>
      </w:pPr>
      <w:r w:rsidRPr="006E6D3E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6E6D3E">
        <w:rPr>
          <w:rFonts w:ascii="Arial" w:hAnsi="Arial" w:cs="Arial"/>
          <w:b/>
          <w:lang w:val="es-CR"/>
        </w:rPr>
        <w:t>:</w:t>
      </w:r>
    </w:p>
    <w:p w:rsidR="006E6D3E" w:rsidRPr="006E6D3E" w:rsidRDefault="006E6D3E" w:rsidP="006E6D3E">
      <w:pPr>
        <w:rPr>
          <w:sz w:val="20"/>
          <w:szCs w:val="20"/>
          <w:lang w:val="es-CR"/>
        </w:rPr>
      </w:pPr>
    </w:p>
    <w:p w:rsidR="006E6D3E" w:rsidRPr="006E6D3E" w:rsidRDefault="006E6D3E" w:rsidP="006E6D3E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lang w:val="es-CR"/>
        </w:rPr>
      </w:pPr>
      <w:r w:rsidRPr="006E6D3E">
        <w:rPr>
          <w:rFonts w:ascii="Arial" w:hAnsi="Arial" w:cs="Arial"/>
          <w:lang w:val="es-CR"/>
        </w:rPr>
        <w:t xml:space="preserve">Dar por recibido el Informe “Revisión </w:t>
      </w:r>
      <w:r w:rsidRPr="006E6D3E">
        <w:rPr>
          <w:rFonts w:ascii="Arial" w:hAnsi="Arial" w:cs="Arial"/>
        </w:rPr>
        <w:t>y análisis del tema transporte de público de la ruta Cartago-TEC y viceversa</w:t>
      </w:r>
      <w:r w:rsidRPr="006E6D3E">
        <w:rPr>
          <w:rFonts w:ascii="Arial" w:hAnsi="Arial" w:cs="Arial"/>
          <w:lang w:val="es-CR"/>
        </w:rPr>
        <w:t>”, adjunto al oficio VAD-253-2017, según lo solicitado en el acuerdo de la Sesión No. 3004, artículo 14, del 14 de diciembre de 2016.</w:t>
      </w:r>
    </w:p>
    <w:p w:rsidR="006E6D3E" w:rsidRPr="006E6D3E" w:rsidRDefault="006E6D3E" w:rsidP="006E6D3E">
      <w:pPr>
        <w:rPr>
          <w:rFonts w:ascii="Arial" w:hAnsi="Arial" w:cs="Arial"/>
          <w:i/>
          <w:lang w:val="es-CR"/>
        </w:rPr>
      </w:pPr>
    </w:p>
    <w:p w:rsidR="006E6D3E" w:rsidRPr="006E6D3E" w:rsidRDefault="006E6D3E" w:rsidP="006E6D3E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i/>
          <w:lang w:val="es-CR"/>
        </w:rPr>
      </w:pPr>
      <w:r w:rsidRPr="006E6D3E">
        <w:rPr>
          <w:rFonts w:ascii="Arial" w:hAnsi="Arial" w:cs="Arial"/>
          <w:lang w:val="es-CR"/>
        </w:rPr>
        <w:t>Solicitar a la Administración realizar las gestiones correspondientes para disminuir la tarifa del servicio de transporte público de la ruta Cartago-TEC y Viceversa, a 150.00 colones, a partir del segundo semestre 2017, e incorpore las previsiones presupuestarias correspondientes.</w:t>
      </w:r>
    </w:p>
    <w:p w:rsidR="006E6D3E" w:rsidRDefault="006E6D3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474B22" w:rsidRDefault="007742A1" w:rsidP="006E6D3E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>Comunica</w:t>
      </w:r>
      <w:r w:rsidRPr="009912AB">
        <w:rPr>
          <w:rFonts w:ascii="Arial" w:hAnsi="Arial" w:cs="Arial"/>
          <w:lang w:val="es-CR"/>
        </w:rPr>
        <w:t>r</w:t>
      </w:r>
      <w:r w:rsidRPr="0026727D">
        <w:rPr>
          <w:rFonts w:ascii="Arial" w:hAnsi="Arial" w:cs="Arial"/>
          <w:lang w:val="es-CR"/>
        </w:rPr>
        <w:t xml:space="preserve">. </w:t>
      </w:r>
      <w:r w:rsidRPr="0026727D">
        <w:rPr>
          <w:rFonts w:ascii="Arial" w:hAnsi="Arial" w:cs="Arial"/>
          <w:b/>
          <w:lang w:val="es-CR"/>
        </w:rPr>
        <w:t xml:space="preserve"> ACUERDO FIRME.</w:t>
      </w:r>
      <w:r w:rsidR="007C46B5" w:rsidRPr="0026727D">
        <w:rPr>
          <w:rFonts w:ascii="Arial" w:hAnsi="Arial" w:cs="Arial"/>
          <w:b/>
          <w:lang w:val="es-CR"/>
        </w:rPr>
        <w:t xml:space="preserve">  </w:t>
      </w:r>
    </w:p>
    <w:p w:rsidR="006E6D3E" w:rsidRPr="006E6D3E" w:rsidRDefault="006E6D3E" w:rsidP="006E6D3E">
      <w:pPr>
        <w:pStyle w:val="Prrafodelista"/>
        <w:rPr>
          <w:rFonts w:ascii="Arial" w:hAnsi="Arial" w:cs="Arial"/>
          <w:b/>
          <w:lang w:val="es-CR"/>
        </w:rPr>
      </w:pPr>
    </w:p>
    <w:p w:rsidR="006E6D3E" w:rsidRDefault="006E6D3E" w:rsidP="006E6D3E">
      <w:pPr>
        <w:pStyle w:val="Prrafodelista"/>
        <w:ind w:left="567"/>
        <w:jc w:val="both"/>
        <w:rPr>
          <w:rFonts w:ascii="Arial" w:hAnsi="Arial" w:cs="Arial"/>
          <w:b/>
          <w:lang w:val="es-CR"/>
        </w:rPr>
      </w:pPr>
    </w:p>
    <w:p w:rsidR="006E6D3E" w:rsidRPr="006E6D3E" w:rsidRDefault="006E6D3E" w:rsidP="00C21660">
      <w:pPr>
        <w:tabs>
          <w:tab w:val="left" w:pos="760"/>
        </w:tabs>
        <w:spacing w:line="276" w:lineRule="auto"/>
        <w:jc w:val="both"/>
        <w:rPr>
          <w:rFonts w:ascii="Arial" w:eastAsia="Cambria" w:hAnsi="Arial" w:cs="Arial"/>
          <w:lang w:val="es-CR" w:eastAsia="en-US"/>
        </w:rPr>
      </w:pPr>
      <w:r w:rsidRPr="006E6D3E">
        <w:rPr>
          <w:rFonts w:ascii="Arial" w:hAnsi="Arial" w:cs="Arial"/>
          <w:b/>
          <w:sz w:val="22"/>
          <w:szCs w:val="22"/>
          <w:lang w:val="es-CR"/>
        </w:rPr>
        <w:t xml:space="preserve">Palabras clave:   Informe –  </w:t>
      </w:r>
      <w:r w:rsidRPr="006E6D3E">
        <w:rPr>
          <w:rFonts w:ascii="Arial" w:hAnsi="Arial" w:cs="Arial"/>
          <w:b/>
          <w:lang w:val="es-CR"/>
        </w:rPr>
        <w:t xml:space="preserve">Revisión  -  disminución –tarifa - transporte </w:t>
      </w:r>
      <w:r w:rsidRPr="006E6D3E">
        <w:rPr>
          <w:rFonts w:ascii="Arial" w:hAnsi="Arial" w:cs="Arial"/>
          <w:b/>
          <w:sz w:val="22"/>
          <w:szCs w:val="22"/>
          <w:lang w:val="es-CR"/>
        </w:rPr>
        <w:t xml:space="preserve"> –  Cartago – TEC – Viceversa  </w:t>
      </w:r>
      <w:bookmarkStart w:id="0" w:name="_GoBack"/>
      <w:bookmarkEnd w:id="0"/>
    </w:p>
    <w:p w:rsidR="00FC681C" w:rsidRDefault="00FC681C" w:rsidP="00FC681C">
      <w:pPr>
        <w:ind w:right="-91"/>
        <w:contextualSpacing/>
        <w:jc w:val="both"/>
        <w:rPr>
          <w:rFonts w:ascii="Arial" w:hAnsi="Arial" w:cs="Arial"/>
          <w:b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FE15B2" w:rsidTr="002029D9">
        <w:trPr>
          <w:trHeight w:val="183"/>
        </w:trPr>
        <w:tc>
          <w:tcPr>
            <w:tcW w:w="4361" w:type="dxa"/>
          </w:tcPr>
          <w:p w:rsidR="00FE15B2" w:rsidRDefault="00FE15B2" w:rsidP="002029D9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2029D9" w:rsidRDefault="002029D9" w:rsidP="002029D9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2029D9" w:rsidRDefault="002029D9" w:rsidP="002029D9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FE15B2" w:rsidTr="002029D9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Docencia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FE15B2" w:rsidRDefault="00FE15B2" w:rsidP="005D6A96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FE15B2" w:rsidRDefault="00FE15B2" w:rsidP="005D6A96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FE15B2" w:rsidRDefault="00FE15B2" w:rsidP="005D6A96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Oficina Asesoría Legal</w:t>
            </w:r>
          </w:p>
          <w:p w:rsidR="00FE15B2" w:rsidRDefault="00FE15B2" w:rsidP="005D6A96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FE15B2" w:rsidRDefault="00FE15B2" w:rsidP="005D6A96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FE15B2" w:rsidRDefault="00FE15B2" w:rsidP="006E6D3E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FE15B2" w:rsidRDefault="00FE15B2" w:rsidP="005D6A9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61" w:rsidRDefault="00B16461">
      <w:r>
        <w:separator/>
      </w:r>
    </w:p>
  </w:endnote>
  <w:endnote w:type="continuationSeparator" w:id="0">
    <w:p w:rsidR="00B16461" w:rsidRDefault="00B1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61" w:rsidRDefault="00B16461">
      <w:r>
        <w:separator/>
      </w:r>
    </w:p>
  </w:footnote>
  <w:footnote w:type="continuationSeparator" w:id="0">
    <w:p w:rsidR="00B16461" w:rsidRDefault="00B1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1F3E92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6E6D3E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C363D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6E6D3E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6E6D3E">
      <w:rPr>
        <w:rFonts w:ascii="Arial" w:eastAsia="Cambria" w:hAnsi="Arial" w:cs="Arial"/>
        <w:i/>
        <w:sz w:val="18"/>
        <w:szCs w:val="18"/>
        <w:lang w:val="es-ES_tradnl" w:eastAsia="x-none"/>
      </w:rPr>
      <w:t>05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6E6D3E">
      <w:rPr>
        <w:rFonts w:ascii="Arial" w:eastAsia="Cambria" w:hAnsi="Arial" w:cs="Arial"/>
        <w:i/>
        <w:sz w:val="18"/>
        <w:szCs w:val="18"/>
        <w:lang w:val="es-ES_tradnl" w:eastAsia="x-none"/>
      </w:rPr>
      <w:t>junio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C2166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7B"/>
    <w:multiLevelType w:val="hybridMultilevel"/>
    <w:tmpl w:val="5148937C"/>
    <w:lvl w:ilvl="0" w:tplc="84DA31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876"/>
    <w:multiLevelType w:val="hybridMultilevel"/>
    <w:tmpl w:val="DBB086F8"/>
    <w:lvl w:ilvl="0" w:tplc="3A926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16A0C"/>
    <w:multiLevelType w:val="hybridMultilevel"/>
    <w:tmpl w:val="1772E936"/>
    <w:lvl w:ilvl="0" w:tplc="226CCE4A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DC9CC9B8">
      <w:start w:val="1"/>
      <w:numFmt w:val="upperLetter"/>
      <w:lvlText w:val="%2-"/>
      <w:lvlJc w:val="left"/>
      <w:pPr>
        <w:ind w:left="1866" w:hanging="78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CDB"/>
    <w:multiLevelType w:val="hybridMultilevel"/>
    <w:tmpl w:val="D06C47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14D4"/>
    <w:multiLevelType w:val="hybridMultilevel"/>
    <w:tmpl w:val="1772E936"/>
    <w:lvl w:ilvl="0" w:tplc="226CCE4A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DC9CC9B8">
      <w:start w:val="1"/>
      <w:numFmt w:val="upperLetter"/>
      <w:lvlText w:val="%2-"/>
      <w:lvlJc w:val="left"/>
      <w:pPr>
        <w:ind w:left="1866" w:hanging="78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0FA4"/>
    <w:multiLevelType w:val="hybridMultilevel"/>
    <w:tmpl w:val="4B04383C"/>
    <w:lvl w:ilvl="0" w:tplc="BD002EBE">
      <w:start w:val="1"/>
      <w:numFmt w:val="lowerLetter"/>
      <w:lvlText w:val="%1."/>
      <w:lvlJc w:val="left"/>
      <w:pPr>
        <w:ind w:left="1003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723" w:hanging="360"/>
      </w:pPr>
    </w:lvl>
    <w:lvl w:ilvl="2" w:tplc="140A001B" w:tentative="1">
      <w:start w:val="1"/>
      <w:numFmt w:val="lowerRoman"/>
      <w:lvlText w:val="%3."/>
      <w:lvlJc w:val="right"/>
      <w:pPr>
        <w:ind w:left="2443" w:hanging="180"/>
      </w:pPr>
    </w:lvl>
    <w:lvl w:ilvl="3" w:tplc="140A000F" w:tentative="1">
      <w:start w:val="1"/>
      <w:numFmt w:val="decimal"/>
      <w:lvlText w:val="%4."/>
      <w:lvlJc w:val="left"/>
      <w:pPr>
        <w:ind w:left="3163" w:hanging="360"/>
      </w:pPr>
    </w:lvl>
    <w:lvl w:ilvl="4" w:tplc="140A0019" w:tentative="1">
      <w:start w:val="1"/>
      <w:numFmt w:val="lowerLetter"/>
      <w:lvlText w:val="%5."/>
      <w:lvlJc w:val="left"/>
      <w:pPr>
        <w:ind w:left="3883" w:hanging="360"/>
      </w:pPr>
    </w:lvl>
    <w:lvl w:ilvl="5" w:tplc="140A001B" w:tentative="1">
      <w:start w:val="1"/>
      <w:numFmt w:val="lowerRoman"/>
      <w:lvlText w:val="%6."/>
      <w:lvlJc w:val="right"/>
      <w:pPr>
        <w:ind w:left="4603" w:hanging="180"/>
      </w:pPr>
    </w:lvl>
    <w:lvl w:ilvl="6" w:tplc="140A000F" w:tentative="1">
      <w:start w:val="1"/>
      <w:numFmt w:val="decimal"/>
      <w:lvlText w:val="%7."/>
      <w:lvlJc w:val="left"/>
      <w:pPr>
        <w:ind w:left="5323" w:hanging="360"/>
      </w:pPr>
    </w:lvl>
    <w:lvl w:ilvl="7" w:tplc="140A0019" w:tentative="1">
      <w:start w:val="1"/>
      <w:numFmt w:val="lowerLetter"/>
      <w:lvlText w:val="%8."/>
      <w:lvlJc w:val="left"/>
      <w:pPr>
        <w:ind w:left="6043" w:hanging="360"/>
      </w:pPr>
    </w:lvl>
    <w:lvl w:ilvl="8" w:tplc="1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84F0ED2"/>
    <w:multiLevelType w:val="hybridMultilevel"/>
    <w:tmpl w:val="5D8C5D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5D41EE"/>
    <w:multiLevelType w:val="hybridMultilevel"/>
    <w:tmpl w:val="2FAC48E0"/>
    <w:lvl w:ilvl="0" w:tplc="2E10A6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A647D"/>
    <w:multiLevelType w:val="hybridMultilevel"/>
    <w:tmpl w:val="B00080FE"/>
    <w:lvl w:ilvl="0" w:tplc="140A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24C"/>
    <w:rsid w:val="000B6B41"/>
    <w:rsid w:val="000B7C5A"/>
    <w:rsid w:val="000C0A23"/>
    <w:rsid w:val="000C25EB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5DC"/>
    <w:rsid w:val="00171AC3"/>
    <w:rsid w:val="001746E5"/>
    <w:rsid w:val="0018030A"/>
    <w:rsid w:val="001806C4"/>
    <w:rsid w:val="00182124"/>
    <w:rsid w:val="00187E00"/>
    <w:rsid w:val="001962C2"/>
    <w:rsid w:val="001A33C3"/>
    <w:rsid w:val="001B1E0E"/>
    <w:rsid w:val="001B208D"/>
    <w:rsid w:val="001B59CC"/>
    <w:rsid w:val="001C1124"/>
    <w:rsid w:val="001C1335"/>
    <w:rsid w:val="001D40F5"/>
    <w:rsid w:val="001E0224"/>
    <w:rsid w:val="001E08C0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9D9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4ACB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C51"/>
    <w:rsid w:val="005E6F3F"/>
    <w:rsid w:val="005F3429"/>
    <w:rsid w:val="005F3B68"/>
    <w:rsid w:val="005F40F5"/>
    <w:rsid w:val="005F6B28"/>
    <w:rsid w:val="005F7E90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1E15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E6D3E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63AF2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4DAD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22DF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4B86"/>
    <w:rsid w:val="009006A5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6004A"/>
    <w:rsid w:val="00961770"/>
    <w:rsid w:val="00962660"/>
    <w:rsid w:val="00963F04"/>
    <w:rsid w:val="00964B8E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4B4B"/>
    <w:rsid w:val="00A06A2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16461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1660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CF7"/>
    <w:rsid w:val="00CF1E9D"/>
    <w:rsid w:val="00CF22B9"/>
    <w:rsid w:val="00CF3F70"/>
    <w:rsid w:val="00D0233D"/>
    <w:rsid w:val="00D0240D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4B08"/>
    <w:rsid w:val="00DE7014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2B5E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66745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C681C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15B2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FAC1-5E69-4740-A927-DD67DA3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91</cp:revision>
  <cp:lastPrinted>2017-06-08T16:26:00Z</cp:lastPrinted>
  <dcterms:created xsi:type="dcterms:W3CDTF">2016-10-05T20:00:00Z</dcterms:created>
  <dcterms:modified xsi:type="dcterms:W3CDTF">2017-06-08T19:09:00Z</dcterms:modified>
</cp:coreProperties>
</file>