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36784">
        <w:rPr>
          <w:rFonts w:ascii="Arial" w:hAnsi="Arial" w:cs="Arial"/>
          <w:b/>
          <w:bCs/>
          <w:iCs/>
          <w:sz w:val="26"/>
          <w:szCs w:val="22"/>
          <w:lang w:val="es-CR"/>
        </w:rPr>
        <w:t>3</w:t>
      </w:r>
      <w:r w:rsidR="00ED10C0">
        <w:rPr>
          <w:rFonts w:ascii="Arial" w:hAnsi="Arial" w:cs="Arial"/>
          <w:b/>
          <w:bCs/>
          <w:iCs/>
          <w:sz w:val="26"/>
          <w:szCs w:val="22"/>
          <w:lang w:val="es-CR"/>
        </w:rPr>
        <w:t>62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04281B" w:rsidRDefault="007742A1" w:rsidP="0004281B">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04281B" w:rsidRDefault="001E08C0" w:rsidP="00337455">
            <w:pPr>
              <w:jc w:val="both"/>
              <w:rPr>
                <w:rFonts w:ascii="Arial" w:eastAsia="Cambria" w:hAnsi="Arial" w:cs="Arial"/>
                <w:sz w:val="20"/>
                <w:szCs w:val="20"/>
                <w:lang w:val="es-ES_tradnl" w:eastAsia="en-US"/>
              </w:rPr>
            </w:pPr>
            <w:r w:rsidRPr="0004281B">
              <w:rPr>
                <w:rFonts w:ascii="Arial" w:eastAsia="Cambria" w:hAnsi="Arial" w:cs="Arial"/>
                <w:sz w:val="20"/>
                <w:szCs w:val="20"/>
                <w:lang w:val="es-ES_tradnl" w:eastAsia="en-US"/>
              </w:rPr>
              <w:t>Dr. Julio Calvo Alvarado</w:t>
            </w:r>
            <w:r w:rsidR="0090700F" w:rsidRPr="0004281B">
              <w:rPr>
                <w:rFonts w:ascii="Arial" w:eastAsia="Cambria" w:hAnsi="Arial" w:cs="Arial"/>
                <w:sz w:val="20"/>
                <w:szCs w:val="20"/>
                <w:lang w:val="es-ES_tradnl" w:eastAsia="en-US"/>
              </w:rPr>
              <w:t>, Rector</w:t>
            </w:r>
            <w:r w:rsidR="00337455" w:rsidRPr="0004281B">
              <w:rPr>
                <w:rFonts w:ascii="Arial" w:eastAsia="Cambria" w:hAnsi="Arial" w:cs="Arial"/>
                <w:sz w:val="20"/>
                <w:szCs w:val="20"/>
                <w:lang w:val="es-ES_tradnl" w:eastAsia="en-US"/>
              </w:rPr>
              <w:t xml:space="preserve"> </w:t>
            </w:r>
          </w:p>
          <w:p w:rsidR="00ED10C0" w:rsidRPr="0004281B" w:rsidRDefault="00ED10C0" w:rsidP="00337455">
            <w:pPr>
              <w:jc w:val="both"/>
              <w:rPr>
                <w:rFonts w:ascii="Arial" w:eastAsia="Cambria" w:hAnsi="Arial" w:cs="Arial"/>
                <w:sz w:val="20"/>
                <w:szCs w:val="20"/>
                <w:lang w:val="es-ES_tradnl" w:eastAsia="en-US"/>
              </w:rPr>
            </w:pPr>
            <w:r w:rsidRPr="0004281B">
              <w:rPr>
                <w:rFonts w:ascii="Arial" w:eastAsia="Cambria" w:hAnsi="Arial" w:cs="Arial"/>
                <w:sz w:val="20"/>
                <w:szCs w:val="20"/>
                <w:lang w:val="es-ES_tradnl" w:eastAsia="en-US"/>
              </w:rPr>
              <w:t>Ing. Luis Paulino Méndez, Vicerrector de Docencia</w:t>
            </w:r>
          </w:p>
          <w:p w:rsidR="00FD78A2" w:rsidRPr="0004281B" w:rsidRDefault="00FD78A2" w:rsidP="00337455">
            <w:pPr>
              <w:jc w:val="both"/>
              <w:rPr>
                <w:rFonts w:ascii="Arial" w:eastAsia="Cambria" w:hAnsi="Arial" w:cs="Arial"/>
                <w:sz w:val="20"/>
                <w:szCs w:val="20"/>
                <w:lang w:val="es-ES_tradnl" w:eastAsia="en-US"/>
              </w:rPr>
            </w:pPr>
            <w:r w:rsidRPr="0004281B">
              <w:rPr>
                <w:rFonts w:ascii="Arial" w:eastAsia="Cambria" w:hAnsi="Arial" w:cs="Arial"/>
                <w:sz w:val="20"/>
                <w:szCs w:val="20"/>
                <w:lang w:val="es-ES_tradnl" w:eastAsia="en-US"/>
              </w:rPr>
              <w:t xml:space="preserve">Dr. Humberto Villalta, Vicerrector de Administración </w:t>
            </w:r>
          </w:p>
          <w:p w:rsidR="008461A0" w:rsidRPr="0004281B" w:rsidRDefault="008461A0" w:rsidP="00337455">
            <w:pPr>
              <w:jc w:val="both"/>
              <w:rPr>
                <w:rFonts w:ascii="Arial" w:eastAsia="Cambria" w:hAnsi="Arial" w:cs="Arial"/>
                <w:sz w:val="20"/>
                <w:szCs w:val="20"/>
                <w:lang w:val="es-ES_tradnl" w:eastAsia="en-US"/>
              </w:rPr>
            </w:pPr>
            <w:proofErr w:type="spellStart"/>
            <w:r w:rsidRPr="0004281B">
              <w:rPr>
                <w:rFonts w:ascii="Arial" w:eastAsia="Cambria" w:hAnsi="Arial" w:cs="Arial"/>
                <w:sz w:val="20"/>
                <w:szCs w:val="20"/>
                <w:lang w:val="es-ES_tradnl" w:eastAsia="en-US"/>
              </w:rPr>
              <w:t>MAU</w:t>
            </w:r>
            <w:proofErr w:type="spellEnd"/>
            <w:r w:rsidRPr="0004281B">
              <w:rPr>
                <w:rFonts w:ascii="Arial" w:eastAsia="Cambria" w:hAnsi="Arial" w:cs="Arial"/>
                <w:sz w:val="20"/>
                <w:szCs w:val="20"/>
                <w:lang w:val="es-ES_tradnl" w:eastAsia="en-US"/>
              </w:rPr>
              <w:t>. Tatiana Fernández, Directora Oficina de Planificación Institucional</w:t>
            </w:r>
          </w:p>
          <w:p w:rsidR="00952150" w:rsidRPr="0004281B" w:rsidRDefault="00952150" w:rsidP="00337455">
            <w:pPr>
              <w:jc w:val="both"/>
              <w:rPr>
                <w:rFonts w:ascii="Arial" w:eastAsia="Cambria" w:hAnsi="Arial" w:cs="Arial"/>
                <w:sz w:val="20"/>
                <w:szCs w:val="20"/>
                <w:lang w:val="es-ES_tradnl" w:eastAsia="en-US"/>
              </w:rPr>
            </w:pPr>
            <w:r w:rsidRPr="0004281B">
              <w:rPr>
                <w:rFonts w:ascii="Arial" w:eastAsia="Cambria" w:hAnsi="Arial" w:cs="Arial"/>
                <w:sz w:val="20"/>
                <w:szCs w:val="20"/>
                <w:lang w:val="es-ES_tradnl" w:eastAsia="en-US"/>
              </w:rPr>
              <w:t>Licda. Grettel Ortiz, Directora de la Oficina de Asesoría Legal</w:t>
            </w:r>
          </w:p>
          <w:p w:rsidR="00B36784" w:rsidRPr="0004281B" w:rsidRDefault="00ED10C0" w:rsidP="00ED10C0">
            <w:pPr>
              <w:jc w:val="both"/>
              <w:rPr>
                <w:rFonts w:ascii="Arial" w:hAnsi="Arial" w:cs="Arial"/>
                <w:sz w:val="20"/>
                <w:szCs w:val="20"/>
              </w:rPr>
            </w:pPr>
            <w:r w:rsidRPr="0004281B">
              <w:rPr>
                <w:rFonts w:ascii="Arial" w:hAnsi="Arial" w:cs="Arial"/>
                <w:sz w:val="20"/>
                <w:szCs w:val="20"/>
              </w:rPr>
              <w:t>Dr. Alejandro Masís, Director de la Escuela de Administración de Empresas</w:t>
            </w:r>
          </w:p>
          <w:p w:rsidR="00ED10C0" w:rsidRPr="0004281B" w:rsidRDefault="00ED10C0" w:rsidP="00ED10C0">
            <w:pPr>
              <w:jc w:val="both"/>
              <w:rPr>
                <w:rFonts w:ascii="Arial" w:hAnsi="Arial" w:cs="Arial"/>
                <w:sz w:val="20"/>
                <w:szCs w:val="20"/>
              </w:rPr>
            </w:pPr>
            <w:r w:rsidRPr="0004281B">
              <w:rPr>
                <w:rFonts w:ascii="Arial" w:hAnsi="Arial" w:cs="Arial"/>
                <w:sz w:val="20"/>
                <w:szCs w:val="20"/>
              </w:rPr>
              <w:t>Dra. Carmen Madriz, Directora Dirección de Posgrado</w:t>
            </w:r>
          </w:p>
          <w:p w:rsidR="00ED10C0" w:rsidRPr="0004281B" w:rsidRDefault="00ED10C0" w:rsidP="00ED10C0">
            <w:pPr>
              <w:jc w:val="both"/>
              <w:rPr>
                <w:rFonts w:ascii="Arial" w:hAnsi="Arial" w:cs="Arial"/>
                <w:sz w:val="20"/>
                <w:szCs w:val="20"/>
              </w:rPr>
            </w:pPr>
            <w:r w:rsidRPr="0004281B">
              <w:rPr>
                <w:rFonts w:ascii="Arial" w:hAnsi="Arial" w:cs="Arial"/>
                <w:sz w:val="20"/>
                <w:szCs w:val="20"/>
              </w:rPr>
              <w:t>Lic. Roy D’Avanzo, Director del Departamento Financiero Contable</w:t>
            </w:r>
          </w:p>
          <w:p w:rsidR="00ED10C0" w:rsidRPr="002D6978" w:rsidRDefault="00ED10C0" w:rsidP="00ED10C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ED10C0"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C3BD7" w:rsidRDefault="007742A1" w:rsidP="00ED10C0">
            <w:pPr>
              <w:ind w:left="-74"/>
              <w:jc w:val="both"/>
              <w:rPr>
                <w:rFonts w:ascii="Arial"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ED10C0">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ED10C0">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ED10C0">
              <w:rPr>
                <w:rFonts w:ascii="Arial" w:eastAsia="Calibri" w:hAnsi="Arial" w:cs="Arial"/>
                <w:b/>
                <w:sz w:val="22"/>
                <w:szCs w:val="22"/>
              </w:rPr>
              <w:t>14</w:t>
            </w:r>
            <w:r w:rsidRPr="00D958BC">
              <w:rPr>
                <w:rFonts w:ascii="Arial" w:eastAsia="Calibri" w:hAnsi="Arial" w:cs="Arial"/>
                <w:b/>
                <w:sz w:val="22"/>
                <w:szCs w:val="22"/>
              </w:rPr>
              <w:t xml:space="preserve"> de </w:t>
            </w:r>
            <w:r w:rsidR="00EC3BD7">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ED10C0" w:rsidRPr="00ED10C0">
              <w:rPr>
                <w:rFonts w:ascii="Arial" w:hAnsi="Arial" w:cs="Arial"/>
                <w:b/>
                <w:sz w:val="22"/>
                <w:szCs w:val="22"/>
              </w:rPr>
              <w:t>Modificación Artículo 14, del Reglamento del Régimen Enseñanza Aprendizaje del ITCR</w:t>
            </w:r>
          </w:p>
          <w:p w:rsidR="00ED10C0" w:rsidRPr="00DC4940" w:rsidRDefault="00ED10C0" w:rsidP="00FD78A2">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ED10C0" w:rsidRPr="00ED10C0" w:rsidRDefault="00ED10C0" w:rsidP="00ED10C0">
      <w:pPr>
        <w:rPr>
          <w:rFonts w:ascii="Arial" w:eastAsia="Calibri" w:hAnsi="Arial" w:cs="Arial"/>
          <w:b/>
          <w:lang w:val="es-ES_tradnl"/>
        </w:rPr>
      </w:pPr>
      <w:r w:rsidRPr="00ED10C0">
        <w:rPr>
          <w:rFonts w:ascii="Arial" w:eastAsia="Calibri" w:hAnsi="Arial" w:cs="Arial"/>
          <w:b/>
          <w:lang w:val="es-ES_tradnl"/>
        </w:rPr>
        <w:t xml:space="preserve">RESULTANDO QUE: </w:t>
      </w:r>
    </w:p>
    <w:p w:rsidR="00ED10C0" w:rsidRPr="00ED10C0" w:rsidRDefault="00ED10C0" w:rsidP="00ED10C0">
      <w:pPr>
        <w:rPr>
          <w:rFonts w:ascii="Arial" w:eastAsia="Calibri" w:hAnsi="Arial" w:cs="Arial"/>
          <w:b/>
          <w:lang w:val="es-ES_tradnl"/>
        </w:rPr>
      </w:pPr>
    </w:p>
    <w:p w:rsidR="00ED10C0" w:rsidRPr="00ED10C0" w:rsidRDefault="00ED10C0" w:rsidP="00ED10C0">
      <w:pPr>
        <w:numPr>
          <w:ilvl w:val="0"/>
          <w:numId w:val="9"/>
        </w:numPr>
        <w:tabs>
          <w:tab w:val="left" w:pos="426"/>
        </w:tabs>
        <w:ind w:left="426" w:right="-1" w:hanging="426"/>
        <w:contextualSpacing/>
        <w:jc w:val="both"/>
        <w:rPr>
          <w:rFonts w:ascii="Arial" w:eastAsia="Calibri" w:hAnsi="Arial" w:cs="Arial"/>
          <w:bCs/>
          <w:lang w:val="es-CR"/>
        </w:rPr>
      </w:pPr>
      <w:r w:rsidRPr="00ED10C0">
        <w:rPr>
          <w:rFonts w:ascii="Arial" w:eastAsia="Calibri" w:hAnsi="Arial" w:cs="Arial"/>
          <w:bCs/>
          <w:lang w:val="es-CR"/>
        </w:rPr>
        <w:t>El inciso f del Artículo 18, del Estatuto Orgánico del ITCR, establece:</w:t>
      </w:r>
    </w:p>
    <w:p w:rsidR="00ED10C0" w:rsidRPr="00ED10C0" w:rsidRDefault="00ED10C0" w:rsidP="00ED10C0">
      <w:pPr>
        <w:ind w:left="284" w:right="-1"/>
        <w:contextualSpacing/>
        <w:jc w:val="both"/>
        <w:rPr>
          <w:rFonts w:ascii="Arial" w:eastAsia="Calibri" w:hAnsi="Arial" w:cs="Arial"/>
          <w:bCs/>
          <w:sz w:val="20"/>
          <w:szCs w:val="20"/>
          <w:lang w:val="es-CR"/>
        </w:rPr>
      </w:pPr>
    </w:p>
    <w:p w:rsidR="00ED10C0" w:rsidRPr="00ED10C0" w:rsidRDefault="00ED10C0" w:rsidP="00ED10C0">
      <w:pPr>
        <w:tabs>
          <w:tab w:val="left" w:pos="8505"/>
        </w:tabs>
        <w:ind w:left="851" w:right="476"/>
        <w:contextualSpacing/>
        <w:jc w:val="both"/>
        <w:rPr>
          <w:rFonts w:ascii="Arial" w:eastAsia="Calibri" w:hAnsi="Arial" w:cs="Arial"/>
          <w:bCs/>
          <w:i/>
          <w:sz w:val="22"/>
          <w:szCs w:val="22"/>
          <w:lang w:val="es-CR"/>
        </w:rPr>
      </w:pPr>
      <w:r w:rsidRPr="00ED10C0">
        <w:rPr>
          <w:rFonts w:ascii="Arial" w:eastAsia="Calibri" w:hAnsi="Arial" w:cs="Arial"/>
          <w:bCs/>
          <w:i/>
          <w:sz w:val="22"/>
          <w:szCs w:val="22"/>
          <w:lang w:val="es-CR"/>
        </w:rPr>
        <w:t>“Son funciones del Consejo Institucional:</w:t>
      </w:r>
    </w:p>
    <w:p w:rsidR="00ED10C0" w:rsidRPr="00ED10C0" w:rsidRDefault="00ED10C0" w:rsidP="00ED10C0">
      <w:pPr>
        <w:tabs>
          <w:tab w:val="left" w:pos="8505"/>
        </w:tabs>
        <w:ind w:left="851" w:right="476"/>
        <w:jc w:val="both"/>
        <w:rPr>
          <w:rFonts w:ascii="Arial" w:hAnsi="Arial" w:cs="Arial"/>
          <w:bCs/>
          <w:i/>
          <w:sz w:val="22"/>
          <w:szCs w:val="22"/>
          <w:lang w:val="es-CR"/>
        </w:rPr>
      </w:pPr>
    </w:p>
    <w:p w:rsidR="00ED10C0" w:rsidRPr="00ED10C0" w:rsidRDefault="00ED10C0" w:rsidP="00ED10C0">
      <w:pPr>
        <w:tabs>
          <w:tab w:val="left" w:pos="8505"/>
        </w:tabs>
        <w:ind w:left="993" w:right="476" w:hanging="142"/>
        <w:jc w:val="both"/>
        <w:rPr>
          <w:rFonts w:ascii="Arial" w:hAnsi="Arial" w:cs="Arial"/>
          <w:i/>
          <w:sz w:val="22"/>
          <w:szCs w:val="22"/>
          <w:lang w:val="es-CR"/>
        </w:rPr>
      </w:pPr>
      <w:r w:rsidRPr="00ED10C0">
        <w:rPr>
          <w:rFonts w:ascii="Arial" w:hAnsi="Arial" w:cs="Arial"/>
          <w:bCs/>
          <w:i/>
          <w:sz w:val="22"/>
          <w:szCs w:val="22"/>
          <w:lang w:val="es-CR"/>
        </w:rPr>
        <w:t xml:space="preserve">f. </w:t>
      </w:r>
      <w:r w:rsidRPr="00ED10C0">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ED10C0" w:rsidRPr="00ED10C0" w:rsidRDefault="00ED10C0" w:rsidP="00ED10C0">
      <w:pPr>
        <w:ind w:left="1080" w:right="474"/>
        <w:jc w:val="both"/>
        <w:rPr>
          <w:rFonts w:ascii="Arial" w:eastAsia="Cambria" w:hAnsi="Arial" w:cs="Arial"/>
          <w:i/>
          <w:color w:val="000000" w:themeColor="text1"/>
          <w:sz w:val="20"/>
          <w:szCs w:val="20"/>
          <w:lang w:val="es-ES_tradnl" w:eastAsia="es-CR"/>
        </w:rPr>
      </w:pPr>
    </w:p>
    <w:p w:rsidR="00ED10C0" w:rsidRPr="00ED10C0" w:rsidRDefault="00ED10C0" w:rsidP="00ED10C0">
      <w:pPr>
        <w:numPr>
          <w:ilvl w:val="0"/>
          <w:numId w:val="9"/>
        </w:numPr>
        <w:tabs>
          <w:tab w:val="left" w:pos="426"/>
        </w:tabs>
        <w:ind w:left="426" w:right="-1" w:hanging="426"/>
        <w:contextualSpacing/>
        <w:jc w:val="both"/>
        <w:rPr>
          <w:rFonts w:ascii="Arial" w:eastAsia="Cambria" w:hAnsi="Arial" w:cs="Arial"/>
          <w:lang w:val="es-ES_tradnl" w:eastAsia="en-US"/>
        </w:rPr>
      </w:pPr>
      <w:r w:rsidRPr="00ED10C0">
        <w:rPr>
          <w:rFonts w:ascii="Arial" w:eastAsia="Cambria" w:hAnsi="Arial" w:cs="Arial"/>
          <w:lang w:val="es-ES_tradnl" w:eastAsia="en-US"/>
        </w:rPr>
        <w:t>El Consejo Institucional en la Sesión Ordinaria No. 2164, Artículo 10, del 23 de marzo de 2001, incorporó  el Artículo 14 en el  Reglamento del Régimen de Enseñanza-Aprendizaje del Instituto Tecnológico de Costa Rica y sus Reformas”, como sigue:</w:t>
      </w:r>
    </w:p>
    <w:p w:rsidR="00ED10C0" w:rsidRPr="00ED10C0" w:rsidRDefault="00ED10C0" w:rsidP="00ED10C0">
      <w:pPr>
        <w:ind w:left="334"/>
        <w:jc w:val="both"/>
        <w:rPr>
          <w:rFonts w:ascii="Arial" w:eastAsia="Cambria" w:hAnsi="Arial" w:cs="Arial"/>
          <w:lang w:val="es-ES_tradnl" w:eastAsia="en-US"/>
        </w:rPr>
      </w:pPr>
    </w:p>
    <w:p w:rsidR="00ED10C0" w:rsidRPr="00ED10C0" w:rsidRDefault="00ED10C0" w:rsidP="00ED10C0">
      <w:pPr>
        <w:ind w:left="709" w:right="474"/>
        <w:jc w:val="both"/>
        <w:rPr>
          <w:rFonts w:ascii="Arial" w:eastAsia="Cambria" w:hAnsi="Arial" w:cs="Arial"/>
          <w:i/>
          <w:color w:val="000000" w:themeColor="text1"/>
          <w:sz w:val="22"/>
          <w:szCs w:val="22"/>
          <w:lang w:val="es-ES_tradnl" w:eastAsia="es-CR"/>
        </w:rPr>
      </w:pPr>
      <w:r w:rsidRPr="00ED10C0">
        <w:rPr>
          <w:rFonts w:ascii="Arial" w:eastAsia="Cambria" w:hAnsi="Arial" w:cs="Arial"/>
          <w:i/>
          <w:color w:val="000000" w:themeColor="text1"/>
          <w:sz w:val="22"/>
          <w:szCs w:val="22"/>
          <w:lang w:val="es-ES_tradnl" w:eastAsia="es-CR"/>
        </w:rPr>
        <w:t xml:space="preserve"> “Artículo 14 </w:t>
      </w:r>
    </w:p>
    <w:p w:rsidR="00ED10C0" w:rsidRPr="00ED10C0" w:rsidRDefault="00ED10C0" w:rsidP="00ED10C0">
      <w:pPr>
        <w:ind w:left="709" w:right="474"/>
        <w:jc w:val="both"/>
        <w:rPr>
          <w:rFonts w:ascii="Arial" w:eastAsia="Cambria" w:hAnsi="Arial" w:cs="Arial"/>
          <w:i/>
          <w:color w:val="000000" w:themeColor="text1"/>
          <w:sz w:val="16"/>
          <w:szCs w:val="16"/>
          <w:lang w:val="es-ES_tradnl" w:eastAsia="es-CR"/>
        </w:rPr>
      </w:pPr>
    </w:p>
    <w:p w:rsidR="00ED10C0" w:rsidRPr="00ED10C0" w:rsidRDefault="00ED10C0" w:rsidP="00ED10C0">
      <w:pPr>
        <w:tabs>
          <w:tab w:val="left" w:pos="9214"/>
        </w:tabs>
        <w:ind w:left="709" w:right="474" w:hanging="14"/>
        <w:jc w:val="both"/>
        <w:rPr>
          <w:rFonts w:ascii="Arial" w:eastAsia="Cambria" w:hAnsi="Arial" w:cs="Arial"/>
          <w:i/>
          <w:color w:val="000000" w:themeColor="text1"/>
          <w:sz w:val="22"/>
          <w:szCs w:val="22"/>
          <w:lang w:val="es-CR" w:eastAsia="es-CR"/>
        </w:rPr>
      </w:pPr>
      <w:r w:rsidRPr="00ED10C0">
        <w:rPr>
          <w:rFonts w:ascii="Arial" w:eastAsia="Cambria" w:hAnsi="Arial" w:cs="Arial"/>
          <w:i/>
          <w:color w:val="000000" w:themeColor="text1"/>
          <w:sz w:val="22"/>
          <w:szCs w:val="22"/>
          <w:lang w:val="es-CR" w:eastAsia="es-CR"/>
        </w:rPr>
        <w:t>Los derechos de estudio se calcularán multiplicando el valor ordinario del crédito con los créditos matriculados por el estudiante, pero para calcular la suma que debe pagar el estudiante se restarán los montos otorgados como becas ordinarias, becas especiales, préstamos y exoneraciones que sean establecidas en otros reglamentos o normativas institucionales y en particular en las establecidas en el Reglamento de Becas y Préstamos Estudiantiles del Instituto Tecnológico de Costa Rica.”</w:t>
      </w:r>
    </w:p>
    <w:p w:rsidR="00ED10C0" w:rsidRPr="00ED10C0" w:rsidRDefault="00ED10C0" w:rsidP="00ED10C0">
      <w:pPr>
        <w:tabs>
          <w:tab w:val="left" w:pos="9214"/>
        </w:tabs>
        <w:ind w:left="709" w:right="474" w:hanging="14"/>
        <w:jc w:val="both"/>
        <w:rPr>
          <w:rFonts w:ascii="Arial" w:eastAsia="Cambria" w:hAnsi="Arial" w:cs="Arial"/>
          <w:b/>
          <w:lang w:val="es-ES_tradnl" w:eastAsia="en-US"/>
        </w:rPr>
      </w:pPr>
      <w:r w:rsidRPr="00ED10C0">
        <w:rPr>
          <w:rFonts w:ascii="Arial" w:eastAsia="Cambria" w:hAnsi="Arial" w:cs="Arial"/>
          <w:i/>
          <w:color w:val="000000" w:themeColor="text1"/>
          <w:sz w:val="22"/>
          <w:szCs w:val="22"/>
          <w:lang w:val="es-CR" w:eastAsia="es-CR"/>
        </w:rPr>
        <w:tab/>
      </w:r>
    </w:p>
    <w:p w:rsidR="0004281B" w:rsidRDefault="00ED10C0" w:rsidP="0004281B">
      <w:pPr>
        <w:jc w:val="both"/>
        <w:outlineLvl w:val="0"/>
        <w:rPr>
          <w:rFonts w:ascii="Arial" w:eastAsia="Cambria" w:hAnsi="Arial" w:cs="Arial"/>
          <w:b/>
          <w:lang w:val="es-ES_tradnl" w:eastAsia="en-US"/>
        </w:rPr>
      </w:pPr>
      <w:r w:rsidRPr="00ED10C0">
        <w:rPr>
          <w:rFonts w:ascii="Arial" w:eastAsia="Cambria" w:hAnsi="Arial" w:cs="Arial"/>
          <w:b/>
          <w:lang w:val="es-ES_tradnl" w:eastAsia="en-US"/>
        </w:rPr>
        <w:t>CONSIDERANDO QUE:</w:t>
      </w:r>
    </w:p>
    <w:p w:rsidR="0004281B" w:rsidRPr="0004281B" w:rsidRDefault="0004281B" w:rsidP="0004281B">
      <w:pPr>
        <w:jc w:val="both"/>
        <w:outlineLvl w:val="0"/>
        <w:rPr>
          <w:rFonts w:ascii="Arial" w:eastAsia="Cambria" w:hAnsi="Arial" w:cs="Arial"/>
          <w:b/>
          <w:lang w:val="es-ES_tradnl" w:eastAsia="en-US"/>
        </w:rPr>
      </w:pPr>
      <w:bookmarkStart w:id="0" w:name="_GoBack"/>
      <w:bookmarkEnd w:id="0"/>
    </w:p>
    <w:p w:rsidR="00ED10C0" w:rsidRPr="00ED10C0" w:rsidRDefault="00ED10C0" w:rsidP="00ED10C0">
      <w:pPr>
        <w:numPr>
          <w:ilvl w:val="0"/>
          <w:numId w:val="10"/>
        </w:numPr>
        <w:tabs>
          <w:tab w:val="left" w:pos="426"/>
        </w:tabs>
        <w:ind w:left="426" w:right="-1" w:hanging="426"/>
        <w:contextualSpacing/>
        <w:jc w:val="both"/>
        <w:rPr>
          <w:rFonts w:ascii="Arial" w:hAnsi="Arial" w:cs="Arial"/>
        </w:rPr>
      </w:pPr>
      <w:r w:rsidRPr="00ED10C0">
        <w:rPr>
          <w:rFonts w:ascii="Arial" w:hAnsi="Arial" w:cs="Arial"/>
          <w:lang w:val="es-ES_tradnl"/>
        </w:rPr>
        <w:t xml:space="preserve">La Comisión de Planificación y Administración, en la reunión No. 714-2017 del 13 de marzo de 2017, </w:t>
      </w:r>
      <w:r w:rsidRPr="00ED10C0">
        <w:rPr>
          <w:rFonts w:ascii="Arial" w:hAnsi="Arial" w:cs="Arial"/>
        </w:rPr>
        <w:t xml:space="preserve">recibió al Dr. Alejandro Masís, Director de la Escuela de </w:t>
      </w:r>
      <w:r w:rsidRPr="00ED10C0">
        <w:rPr>
          <w:rFonts w:ascii="Arial" w:hAnsi="Arial" w:cs="Arial"/>
        </w:rPr>
        <w:lastRenderedPageBreak/>
        <w:t xml:space="preserve">Administración de Empresas y a la Dra. Grettel Brenes  Leiva, Coordinadora de la Unidad de Posgrado de Administración de Empresas, quienes informan que con el fin de ajustarse a la reglamentación de </w:t>
      </w:r>
      <w:proofErr w:type="spellStart"/>
      <w:r w:rsidRPr="00ED10C0">
        <w:rPr>
          <w:rFonts w:ascii="Arial" w:hAnsi="Arial" w:cs="Arial"/>
        </w:rPr>
        <w:t>CONARE</w:t>
      </w:r>
      <w:proofErr w:type="spellEnd"/>
      <w:r w:rsidRPr="00ED10C0">
        <w:rPr>
          <w:rFonts w:ascii="Arial" w:hAnsi="Arial" w:cs="Arial"/>
        </w:rPr>
        <w:t>,  se debió efectuar un cambio curricular Tipo I, al Programa de Doctorado en Dirección de Empresas, que implicó una redistribución de los créditos cuyo objetivo es reflejar de manera más precisa el nivel de actividad académica en cada una de las fases del programa, destacando lo siguiente:</w:t>
      </w:r>
    </w:p>
    <w:p w:rsidR="00ED10C0" w:rsidRPr="00ED10C0" w:rsidRDefault="00ED10C0" w:rsidP="00ED10C0">
      <w:pPr>
        <w:tabs>
          <w:tab w:val="left" w:pos="426"/>
        </w:tabs>
        <w:ind w:right="-1"/>
        <w:contextualSpacing/>
        <w:jc w:val="both"/>
        <w:rPr>
          <w:rFonts w:ascii="Arial" w:hAnsi="Arial" w:cs="Arial"/>
        </w:rPr>
      </w:pPr>
    </w:p>
    <w:p w:rsidR="00ED10C0" w:rsidRPr="00ED10C0" w:rsidRDefault="00ED10C0" w:rsidP="00ED10C0">
      <w:pPr>
        <w:numPr>
          <w:ilvl w:val="0"/>
          <w:numId w:val="11"/>
        </w:numPr>
        <w:ind w:right="425"/>
        <w:jc w:val="both"/>
        <w:rPr>
          <w:rFonts w:ascii="Arial" w:eastAsia="Calibri" w:hAnsi="Arial" w:cs="Arial"/>
          <w:iCs/>
          <w:sz w:val="22"/>
          <w:szCs w:val="22"/>
          <w:lang w:val="es-CR" w:eastAsia="en-US"/>
        </w:rPr>
      </w:pPr>
      <w:r w:rsidRPr="00ED10C0">
        <w:rPr>
          <w:rFonts w:ascii="Arial" w:eastAsia="Calibri" w:hAnsi="Arial" w:cs="Arial"/>
          <w:iCs/>
          <w:sz w:val="22"/>
          <w:szCs w:val="22"/>
          <w:lang w:val="es-CR" w:eastAsia="en-US"/>
        </w:rPr>
        <w:t>El cambio realizado se muestra en la tabla 1 siguiente:</w:t>
      </w:r>
    </w:p>
    <w:p w:rsidR="00ED10C0" w:rsidRPr="00ED10C0" w:rsidRDefault="00ED10C0" w:rsidP="00ED10C0">
      <w:pPr>
        <w:ind w:left="634" w:right="425"/>
        <w:jc w:val="both"/>
        <w:rPr>
          <w:rFonts w:ascii="Arial" w:eastAsia="Calibri" w:hAnsi="Arial" w:cs="Arial"/>
          <w:iCs/>
          <w:sz w:val="22"/>
          <w:szCs w:val="22"/>
          <w:lang w:val="es-CR" w:eastAsia="en-US"/>
        </w:rPr>
      </w:pPr>
    </w:p>
    <w:p w:rsidR="00ED10C0" w:rsidRPr="00ED10C0" w:rsidRDefault="00ED10C0" w:rsidP="00ED10C0">
      <w:pPr>
        <w:ind w:left="994" w:right="425" w:firstLine="696"/>
        <w:jc w:val="both"/>
        <w:rPr>
          <w:rFonts w:ascii="Arial" w:eastAsia="Calibri" w:hAnsi="Arial" w:cs="Arial"/>
          <w:iCs/>
          <w:sz w:val="22"/>
          <w:szCs w:val="22"/>
          <w:lang w:val="es-CR" w:eastAsia="en-US"/>
        </w:rPr>
      </w:pPr>
      <w:r w:rsidRPr="00ED10C0">
        <w:rPr>
          <w:rFonts w:ascii="Arial" w:eastAsia="Calibri" w:hAnsi="Arial" w:cs="Arial"/>
          <w:b/>
          <w:iCs/>
          <w:sz w:val="22"/>
          <w:szCs w:val="22"/>
          <w:lang w:val="es-CR" w:eastAsia="en-US"/>
        </w:rPr>
        <w:t xml:space="preserve">Tabla </w:t>
      </w:r>
      <w:r w:rsidRPr="00ED10C0">
        <w:rPr>
          <w:rFonts w:ascii="Arial" w:eastAsia="Calibri" w:hAnsi="Arial" w:cs="Arial"/>
          <w:iCs/>
          <w:sz w:val="22"/>
          <w:szCs w:val="22"/>
          <w:lang w:val="es-CR" w:eastAsia="en-US"/>
        </w:rPr>
        <w:t>Modificación curricular tipo I. Reasignación de créditos</w:t>
      </w:r>
    </w:p>
    <w:p w:rsidR="00ED10C0" w:rsidRPr="00ED10C0" w:rsidRDefault="00ED10C0" w:rsidP="00ED10C0">
      <w:pPr>
        <w:ind w:left="994" w:right="425" w:firstLine="696"/>
        <w:jc w:val="both"/>
        <w:rPr>
          <w:rFonts w:ascii="Arial" w:eastAsia="Calibri" w:hAnsi="Arial" w:cs="Arial"/>
          <w:iCs/>
          <w:sz w:val="22"/>
          <w:szCs w:val="22"/>
          <w:lang w:val="es-CR" w:eastAsia="en-US"/>
        </w:rPr>
      </w:pPr>
    </w:p>
    <w:tbl>
      <w:tblPr>
        <w:tblStyle w:val="Tablaconcuadrcula21"/>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2356"/>
        <w:gridCol w:w="2408"/>
      </w:tblGrid>
      <w:tr w:rsidR="00ED10C0" w:rsidRPr="00ED10C0" w:rsidTr="002F3F81">
        <w:tc>
          <w:tcPr>
            <w:tcW w:w="1977" w:type="dxa"/>
            <w:vMerge w:val="restart"/>
            <w:tcBorders>
              <w:top w:val="single" w:sz="4" w:space="0" w:color="auto"/>
            </w:tcBorders>
            <w:vAlign w:val="center"/>
          </w:tcPr>
          <w:p w:rsidR="00ED10C0" w:rsidRPr="00ED10C0" w:rsidRDefault="00ED10C0" w:rsidP="00ED10C0">
            <w:pPr>
              <w:ind w:left="994" w:right="425"/>
              <w:jc w:val="center"/>
              <w:rPr>
                <w:rFonts w:ascii="Arial" w:eastAsia="Calibri" w:hAnsi="Arial" w:cs="Arial"/>
                <w:b/>
                <w:color w:val="000000"/>
                <w:sz w:val="16"/>
                <w:szCs w:val="16"/>
                <w:lang w:val="es-CR" w:eastAsia="es-CR"/>
              </w:rPr>
            </w:pPr>
            <w:r w:rsidRPr="00ED10C0">
              <w:rPr>
                <w:rFonts w:ascii="Arial" w:eastAsia="Calibri" w:hAnsi="Arial" w:cs="Arial"/>
                <w:b/>
                <w:color w:val="000000"/>
                <w:sz w:val="16"/>
                <w:szCs w:val="16"/>
                <w:lang w:val="es-CR" w:eastAsia="es-CR"/>
              </w:rPr>
              <w:t xml:space="preserve">  Fase</w:t>
            </w:r>
          </w:p>
        </w:tc>
        <w:tc>
          <w:tcPr>
            <w:tcW w:w="4764" w:type="dxa"/>
            <w:gridSpan w:val="2"/>
            <w:tcBorders>
              <w:top w:val="single" w:sz="4" w:space="0" w:color="auto"/>
              <w:bottom w:val="single" w:sz="4" w:space="0" w:color="auto"/>
            </w:tcBorders>
          </w:tcPr>
          <w:p w:rsidR="00ED10C0" w:rsidRPr="00ED10C0" w:rsidRDefault="00ED10C0" w:rsidP="00ED10C0">
            <w:pPr>
              <w:ind w:left="994" w:right="425"/>
              <w:jc w:val="center"/>
              <w:rPr>
                <w:rFonts w:ascii="Arial" w:eastAsia="Calibri" w:hAnsi="Arial" w:cs="Arial"/>
                <w:b/>
                <w:color w:val="000000"/>
                <w:sz w:val="16"/>
                <w:szCs w:val="16"/>
                <w:lang w:val="es-CR" w:eastAsia="es-CR"/>
              </w:rPr>
            </w:pPr>
            <w:r w:rsidRPr="00ED10C0">
              <w:rPr>
                <w:rFonts w:ascii="Arial" w:eastAsia="Calibri" w:hAnsi="Arial" w:cs="Arial"/>
                <w:b/>
                <w:color w:val="000000"/>
                <w:sz w:val="16"/>
                <w:szCs w:val="16"/>
                <w:lang w:val="es-CR" w:eastAsia="es-CR"/>
              </w:rPr>
              <w:t>Créditos asignados</w:t>
            </w:r>
          </w:p>
        </w:tc>
      </w:tr>
      <w:tr w:rsidR="00ED10C0" w:rsidRPr="00ED10C0" w:rsidTr="002F3F81">
        <w:tc>
          <w:tcPr>
            <w:tcW w:w="1977" w:type="dxa"/>
            <w:vMerge/>
            <w:tcBorders>
              <w:bottom w:val="single" w:sz="4" w:space="0" w:color="auto"/>
            </w:tcBorders>
          </w:tcPr>
          <w:p w:rsidR="00ED10C0" w:rsidRPr="00ED10C0" w:rsidRDefault="00ED10C0" w:rsidP="00ED10C0">
            <w:pPr>
              <w:ind w:left="994" w:right="425"/>
              <w:jc w:val="right"/>
              <w:rPr>
                <w:rFonts w:ascii="Arial" w:eastAsia="Calibri" w:hAnsi="Arial" w:cs="Arial"/>
                <w:color w:val="000000"/>
                <w:sz w:val="16"/>
                <w:szCs w:val="16"/>
                <w:lang w:val="es-CR" w:eastAsia="es-CR"/>
              </w:rPr>
            </w:pPr>
          </w:p>
        </w:tc>
        <w:tc>
          <w:tcPr>
            <w:tcW w:w="2356" w:type="dxa"/>
            <w:tcBorders>
              <w:top w:val="single" w:sz="4" w:space="0" w:color="auto"/>
              <w:bottom w:val="single" w:sz="4" w:space="0" w:color="auto"/>
            </w:tcBorders>
            <w:vAlign w:val="center"/>
          </w:tcPr>
          <w:p w:rsidR="00ED10C0" w:rsidRPr="00ED10C0" w:rsidRDefault="00ED10C0" w:rsidP="00ED10C0">
            <w:pPr>
              <w:ind w:left="994" w:right="425"/>
              <w:jc w:val="center"/>
              <w:rPr>
                <w:rFonts w:ascii="Arial" w:eastAsia="Calibri" w:hAnsi="Arial" w:cs="Arial"/>
                <w:b/>
                <w:color w:val="000000"/>
                <w:sz w:val="16"/>
                <w:szCs w:val="16"/>
                <w:lang w:val="es-CR" w:eastAsia="es-CR"/>
              </w:rPr>
            </w:pPr>
            <w:r w:rsidRPr="00ED10C0">
              <w:rPr>
                <w:rFonts w:ascii="Arial" w:eastAsia="Calibri" w:hAnsi="Arial" w:cs="Arial"/>
                <w:b/>
                <w:color w:val="000000"/>
                <w:sz w:val="16"/>
                <w:szCs w:val="16"/>
                <w:lang w:val="es-CR" w:eastAsia="es-CR"/>
              </w:rPr>
              <w:t xml:space="preserve">    Situación anterior   </w:t>
            </w:r>
          </w:p>
        </w:tc>
        <w:tc>
          <w:tcPr>
            <w:tcW w:w="2408" w:type="dxa"/>
            <w:tcBorders>
              <w:top w:val="single" w:sz="4" w:space="0" w:color="auto"/>
              <w:bottom w:val="single" w:sz="4" w:space="0" w:color="auto"/>
            </w:tcBorders>
            <w:vAlign w:val="center"/>
          </w:tcPr>
          <w:p w:rsidR="00ED10C0" w:rsidRPr="00ED10C0" w:rsidRDefault="00ED10C0" w:rsidP="00ED10C0">
            <w:pPr>
              <w:ind w:left="994" w:right="425"/>
              <w:jc w:val="center"/>
              <w:rPr>
                <w:rFonts w:ascii="Arial" w:eastAsia="Calibri" w:hAnsi="Arial" w:cs="Arial"/>
                <w:b/>
                <w:color w:val="000000"/>
                <w:sz w:val="16"/>
                <w:szCs w:val="16"/>
                <w:lang w:val="es-CR" w:eastAsia="es-CR"/>
              </w:rPr>
            </w:pPr>
            <w:r w:rsidRPr="00ED10C0">
              <w:rPr>
                <w:rFonts w:ascii="Arial" w:eastAsia="Calibri" w:hAnsi="Arial" w:cs="Arial"/>
                <w:b/>
                <w:color w:val="000000"/>
                <w:sz w:val="16"/>
                <w:szCs w:val="16"/>
                <w:lang w:val="es-CR" w:eastAsia="es-CR"/>
              </w:rPr>
              <w:t>Situación actual</w:t>
            </w:r>
          </w:p>
        </w:tc>
      </w:tr>
      <w:tr w:rsidR="00ED10C0" w:rsidRPr="00ED10C0" w:rsidTr="002F3F81">
        <w:tc>
          <w:tcPr>
            <w:tcW w:w="1977" w:type="dxa"/>
            <w:tcBorders>
              <w:top w:val="single" w:sz="4" w:space="0" w:color="auto"/>
            </w:tcBorders>
          </w:tcPr>
          <w:p w:rsidR="00ED10C0" w:rsidRPr="00ED10C0" w:rsidRDefault="00ED10C0" w:rsidP="00ED10C0">
            <w:pPr>
              <w:ind w:left="317" w:right="425"/>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 xml:space="preserve">             </w:t>
            </w:r>
          </w:p>
          <w:p w:rsidR="00ED10C0" w:rsidRPr="00ED10C0" w:rsidRDefault="00ED10C0" w:rsidP="00ED10C0">
            <w:pPr>
              <w:ind w:left="317" w:right="425"/>
              <w:rPr>
                <w:rFonts w:ascii="Arial" w:hAnsi="Arial" w:cs="Arial"/>
                <w:sz w:val="16"/>
                <w:szCs w:val="16"/>
                <w:lang w:val="es-ES_tradnl"/>
              </w:rPr>
            </w:pPr>
            <w:r w:rsidRPr="00ED10C0">
              <w:rPr>
                <w:rFonts w:ascii="Arial" w:hAnsi="Arial" w:cs="Arial"/>
                <w:sz w:val="16"/>
                <w:szCs w:val="16"/>
                <w:lang w:val="es-ES_tradnl"/>
              </w:rPr>
              <w:t xml:space="preserve">  Cursos</w:t>
            </w:r>
          </w:p>
        </w:tc>
        <w:tc>
          <w:tcPr>
            <w:tcW w:w="2356" w:type="dxa"/>
            <w:tcBorders>
              <w:top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p>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40</w:t>
            </w:r>
          </w:p>
        </w:tc>
        <w:tc>
          <w:tcPr>
            <w:tcW w:w="2408" w:type="dxa"/>
            <w:tcBorders>
              <w:top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p>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24</w:t>
            </w:r>
          </w:p>
        </w:tc>
      </w:tr>
      <w:tr w:rsidR="00ED10C0" w:rsidRPr="00ED10C0" w:rsidTr="002F3F81">
        <w:tc>
          <w:tcPr>
            <w:tcW w:w="1977" w:type="dxa"/>
            <w:tcBorders>
              <w:bottom w:val="nil"/>
            </w:tcBorders>
          </w:tcPr>
          <w:p w:rsidR="00ED10C0" w:rsidRPr="00ED10C0" w:rsidRDefault="00ED10C0" w:rsidP="00ED10C0">
            <w:pPr>
              <w:ind w:left="317" w:right="49"/>
              <w:jc w:val="right"/>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Propuesta de tesis</w:t>
            </w:r>
          </w:p>
        </w:tc>
        <w:tc>
          <w:tcPr>
            <w:tcW w:w="2356" w:type="dxa"/>
            <w:tcBorders>
              <w:bottom w:val="nil"/>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10</w:t>
            </w:r>
          </w:p>
        </w:tc>
        <w:tc>
          <w:tcPr>
            <w:tcW w:w="2408" w:type="dxa"/>
            <w:tcBorders>
              <w:bottom w:val="nil"/>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16</w:t>
            </w:r>
          </w:p>
        </w:tc>
      </w:tr>
      <w:tr w:rsidR="00ED10C0" w:rsidRPr="00ED10C0" w:rsidTr="002F3F81">
        <w:tc>
          <w:tcPr>
            <w:tcW w:w="1977" w:type="dxa"/>
            <w:tcBorders>
              <w:top w:val="nil"/>
              <w:bottom w:val="single" w:sz="4" w:space="0" w:color="auto"/>
            </w:tcBorders>
          </w:tcPr>
          <w:p w:rsidR="00ED10C0" w:rsidRPr="00ED10C0" w:rsidRDefault="00ED10C0" w:rsidP="00ED10C0">
            <w:pPr>
              <w:ind w:left="317"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 xml:space="preserve"> Tesis doctoral</w:t>
            </w:r>
          </w:p>
        </w:tc>
        <w:tc>
          <w:tcPr>
            <w:tcW w:w="2356" w:type="dxa"/>
            <w:tcBorders>
              <w:top w:val="nil"/>
              <w:bottom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20</w:t>
            </w:r>
          </w:p>
        </w:tc>
        <w:tc>
          <w:tcPr>
            <w:tcW w:w="2408" w:type="dxa"/>
            <w:tcBorders>
              <w:top w:val="nil"/>
              <w:bottom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30</w:t>
            </w:r>
          </w:p>
        </w:tc>
      </w:tr>
      <w:tr w:rsidR="00ED10C0" w:rsidRPr="00ED10C0" w:rsidTr="002F3F81">
        <w:tc>
          <w:tcPr>
            <w:tcW w:w="1977" w:type="dxa"/>
            <w:tcBorders>
              <w:top w:val="single" w:sz="4" w:space="0" w:color="auto"/>
            </w:tcBorders>
          </w:tcPr>
          <w:p w:rsidR="00ED10C0" w:rsidRPr="00ED10C0" w:rsidRDefault="00ED10C0" w:rsidP="00ED10C0">
            <w:pPr>
              <w:ind w:left="317" w:right="425"/>
              <w:jc w:val="both"/>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Total</w:t>
            </w:r>
          </w:p>
        </w:tc>
        <w:tc>
          <w:tcPr>
            <w:tcW w:w="2356" w:type="dxa"/>
            <w:tcBorders>
              <w:top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70</w:t>
            </w:r>
          </w:p>
        </w:tc>
        <w:tc>
          <w:tcPr>
            <w:tcW w:w="2408" w:type="dxa"/>
            <w:tcBorders>
              <w:top w:val="single" w:sz="4" w:space="0" w:color="auto"/>
            </w:tcBorders>
          </w:tcPr>
          <w:p w:rsidR="00ED10C0" w:rsidRPr="00ED10C0" w:rsidRDefault="00ED10C0" w:rsidP="00ED10C0">
            <w:pPr>
              <w:ind w:left="994" w:right="425"/>
              <w:jc w:val="center"/>
              <w:rPr>
                <w:rFonts w:ascii="Arial" w:eastAsia="Calibri" w:hAnsi="Arial" w:cs="Arial"/>
                <w:color w:val="000000"/>
                <w:sz w:val="16"/>
                <w:szCs w:val="16"/>
                <w:lang w:val="es-CR" w:eastAsia="es-CR"/>
              </w:rPr>
            </w:pPr>
            <w:r w:rsidRPr="00ED10C0">
              <w:rPr>
                <w:rFonts w:ascii="Arial" w:eastAsia="Calibri" w:hAnsi="Arial" w:cs="Arial"/>
                <w:color w:val="000000"/>
                <w:sz w:val="16"/>
                <w:szCs w:val="16"/>
                <w:lang w:val="es-CR" w:eastAsia="es-CR"/>
              </w:rPr>
              <w:t>70</w:t>
            </w:r>
          </w:p>
        </w:tc>
      </w:tr>
    </w:tbl>
    <w:p w:rsidR="00ED10C0" w:rsidRPr="00ED10C0" w:rsidRDefault="00ED10C0" w:rsidP="00ED10C0">
      <w:pPr>
        <w:ind w:left="994" w:right="425"/>
        <w:jc w:val="both"/>
        <w:rPr>
          <w:rFonts w:ascii="Arial" w:eastAsia="Calibri" w:hAnsi="Arial" w:cs="Arial"/>
          <w:color w:val="000000"/>
          <w:sz w:val="22"/>
          <w:szCs w:val="22"/>
          <w:lang w:val="es-CR" w:eastAsia="es-CR"/>
        </w:rPr>
      </w:pPr>
    </w:p>
    <w:p w:rsidR="00ED10C0" w:rsidRPr="00ED10C0" w:rsidRDefault="00ED10C0" w:rsidP="00ED10C0">
      <w:pPr>
        <w:numPr>
          <w:ilvl w:val="0"/>
          <w:numId w:val="11"/>
        </w:numPr>
        <w:ind w:right="425"/>
        <w:jc w:val="both"/>
        <w:rPr>
          <w:rFonts w:ascii="Arial" w:eastAsia="Calibri" w:hAnsi="Arial" w:cs="Arial"/>
          <w:color w:val="000000"/>
          <w:sz w:val="22"/>
          <w:szCs w:val="22"/>
          <w:lang w:val="es-CR" w:eastAsia="es-CR"/>
        </w:rPr>
      </w:pPr>
      <w:r w:rsidRPr="00ED10C0">
        <w:rPr>
          <w:rFonts w:ascii="Arial" w:eastAsia="Calibri" w:hAnsi="Arial" w:cs="Arial"/>
          <w:iCs/>
          <w:sz w:val="22"/>
          <w:szCs w:val="22"/>
          <w:lang w:val="es-CR" w:eastAsia="en-US"/>
        </w:rPr>
        <w:t>Con</w:t>
      </w:r>
      <w:r w:rsidRPr="00ED10C0">
        <w:rPr>
          <w:rFonts w:ascii="Arial" w:hAnsi="Arial" w:cs="Arial"/>
          <w:color w:val="000000"/>
          <w:sz w:val="22"/>
          <w:szCs w:val="22"/>
          <w:lang w:val="es-CR" w:eastAsia="es-CR"/>
        </w:rPr>
        <w:t xml:space="preserve"> el cambio en los créditos la I Fase del Programa representa el 35% de los créditos, sin embargo, el 57% de costo, siendo esta la fase que tiene mayor proporción de costos de operación fijos y por ende presenta mayor riesgo financiero (traída de profesores extranjeros). Las dos fases restantes conllevan costos se operación variables, por tanto, su operación genera menos compromiso. </w:t>
      </w:r>
    </w:p>
    <w:p w:rsidR="00ED10C0" w:rsidRPr="00ED10C0" w:rsidRDefault="00ED10C0" w:rsidP="00ED10C0">
      <w:pPr>
        <w:ind w:left="994" w:right="425"/>
        <w:jc w:val="both"/>
        <w:rPr>
          <w:rFonts w:ascii="Arial" w:hAnsi="Arial" w:cs="Arial"/>
          <w:color w:val="000000"/>
          <w:sz w:val="22"/>
          <w:szCs w:val="22"/>
          <w:lang w:val="es-CR" w:eastAsia="es-CR"/>
        </w:rPr>
      </w:pPr>
    </w:p>
    <w:p w:rsidR="00ED10C0" w:rsidRPr="00ED10C0" w:rsidRDefault="00ED10C0" w:rsidP="00ED10C0">
      <w:pPr>
        <w:numPr>
          <w:ilvl w:val="0"/>
          <w:numId w:val="11"/>
        </w:numPr>
        <w:ind w:right="425"/>
        <w:jc w:val="both"/>
        <w:rPr>
          <w:rFonts w:ascii="Arial" w:hAnsi="Arial" w:cs="Arial"/>
          <w:color w:val="000000"/>
          <w:kern w:val="1"/>
          <w:sz w:val="22"/>
          <w:szCs w:val="22"/>
          <w:u w:color="000000"/>
          <w:bdr w:val="nil"/>
          <w:lang w:val="es-ES_tradnl" w:eastAsia="es-CR"/>
        </w:rPr>
      </w:pPr>
      <w:r w:rsidRPr="00ED10C0">
        <w:rPr>
          <w:rFonts w:ascii="Arial" w:eastAsia="Calibri" w:hAnsi="Arial" w:cs="Arial"/>
          <w:iCs/>
          <w:sz w:val="22"/>
          <w:szCs w:val="22"/>
          <w:lang w:val="es-CR" w:eastAsia="en-US"/>
        </w:rPr>
        <w:t>Existe</w:t>
      </w:r>
      <w:r w:rsidRPr="00ED10C0">
        <w:rPr>
          <w:rFonts w:ascii="Arial" w:hAnsi="Arial" w:cs="Arial"/>
          <w:color w:val="000000"/>
          <w:kern w:val="1"/>
          <w:sz w:val="22"/>
          <w:szCs w:val="22"/>
          <w:u w:color="000000"/>
          <w:bdr w:val="nil"/>
          <w:lang w:val="es-ES_tradnl" w:eastAsia="es-CR"/>
        </w:rPr>
        <w:t xml:space="preserve"> una mayor probabilidad de deserción en la primera fase del Programa.</w:t>
      </w:r>
    </w:p>
    <w:p w:rsidR="00ED10C0" w:rsidRPr="00ED10C0" w:rsidRDefault="00ED10C0" w:rsidP="00ED10C0">
      <w:pPr>
        <w:shd w:val="clear" w:color="auto" w:fill="FFFFFF"/>
        <w:ind w:left="994" w:right="425" w:hanging="142"/>
        <w:jc w:val="both"/>
        <w:rPr>
          <w:rFonts w:ascii="Arial" w:hAnsi="Arial" w:cs="Arial"/>
          <w:sz w:val="22"/>
          <w:szCs w:val="22"/>
          <w:lang w:val="es-CR" w:eastAsia="es-CR"/>
        </w:rPr>
      </w:pPr>
    </w:p>
    <w:p w:rsidR="00ED10C0" w:rsidRPr="00ED10C0" w:rsidRDefault="00ED10C0" w:rsidP="00ED10C0">
      <w:pPr>
        <w:numPr>
          <w:ilvl w:val="0"/>
          <w:numId w:val="11"/>
        </w:numPr>
        <w:ind w:right="425"/>
        <w:jc w:val="both"/>
        <w:rPr>
          <w:rFonts w:ascii="Arial" w:hAnsi="Arial" w:cs="Arial"/>
          <w:color w:val="000000"/>
          <w:kern w:val="1"/>
          <w:sz w:val="22"/>
          <w:szCs w:val="22"/>
          <w:u w:color="000000"/>
          <w:bdr w:val="nil"/>
          <w:lang w:val="es-ES_tradnl" w:eastAsia="es-CR"/>
        </w:rPr>
      </w:pPr>
      <w:r w:rsidRPr="00ED10C0">
        <w:rPr>
          <w:rFonts w:ascii="Arial" w:eastAsia="Calibri" w:hAnsi="Arial" w:cs="Arial"/>
          <w:iCs/>
          <w:sz w:val="22"/>
          <w:szCs w:val="22"/>
          <w:lang w:val="es-CR" w:eastAsia="en-US"/>
        </w:rPr>
        <w:t>Por</w:t>
      </w:r>
      <w:r w:rsidRPr="00ED10C0">
        <w:rPr>
          <w:rFonts w:ascii="Arial" w:hAnsi="Arial" w:cs="Arial"/>
          <w:color w:val="000000"/>
          <w:kern w:val="1"/>
          <w:sz w:val="22"/>
          <w:szCs w:val="22"/>
          <w:u w:color="000000"/>
          <w:bdr w:val="nil"/>
          <w:lang w:val="es-ES_tradnl" w:eastAsia="es-CR"/>
        </w:rPr>
        <w:t xml:space="preserve"> razones de sostenibilidad financiera, conviene que el precio que se le cobra al estudiante en cada fase sea suficiente para cubrir los costos de operación de cada una de ellas; no obstante, si este precio se asocia al número de créditos no es posible lograr que los ingresos que reciben en cada fase cubran los costos de costos de operación más altos.</w:t>
      </w:r>
    </w:p>
    <w:p w:rsidR="00ED10C0" w:rsidRPr="00ED10C0" w:rsidRDefault="00ED10C0" w:rsidP="00ED10C0">
      <w:pPr>
        <w:ind w:left="708"/>
        <w:rPr>
          <w:rFonts w:ascii="Arial" w:hAnsi="Arial" w:cs="Arial"/>
          <w:color w:val="000000"/>
          <w:kern w:val="1"/>
          <w:sz w:val="22"/>
          <w:szCs w:val="22"/>
          <w:u w:color="000000"/>
          <w:bdr w:val="nil"/>
          <w:lang w:val="es-CR" w:eastAsia="es-CR"/>
        </w:rPr>
      </w:pPr>
    </w:p>
    <w:p w:rsidR="00ED10C0" w:rsidRPr="00ED10C0" w:rsidRDefault="00ED10C0" w:rsidP="00ED10C0">
      <w:pPr>
        <w:numPr>
          <w:ilvl w:val="0"/>
          <w:numId w:val="10"/>
        </w:numPr>
        <w:tabs>
          <w:tab w:val="left" w:pos="426"/>
        </w:tabs>
        <w:ind w:left="426" w:right="-1" w:hanging="426"/>
        <w:contextualSpacing/>
        <w:jc w:val="both"/>
        <w:rPr>
          <w:rFonts w:ascii="Arial" w:hAnsi="Arial" w:cs="Arial"/>
          <w:color w:val="000000"/>
          <w:kern w:val="1"/>
          <w:sz w:val="22"/>
          <w:szCs w:val="22"/>
          <w:u w:color="000000"/>
          <w:bdr w:val="nil"/>
          <w:lang w:val="es-ES_tradnl" w:eastAsia="es-CR"/>
        </w:rPr>
      </w:pPr>
      <w:r w:rsidRPr="00ED10C0">
        <w:rPr>
          <w:rFonts w:ascii="Arial" w:hAnsi="Arial" w:cs="Arial"/>
          <w:lang w:val="es-ES_tradnl"/>
        </w:rPr>
        <w:t>Mediante</w:t>
      </w:r>
      <w:r w:rsidRPr="00ED10C0">
        <w:rPr>
          <w:rFonts w:ascii="Arial" w:hAnsi="Arial" w:cs="Arial"/>
          <w:color w:val="000000"/>
          <w:kern w:val="1"/>
          <w:sz w:val="22"/>
          <w:szCs w:val="22"/>
          <w:u w:color="000000"/>
          <w:bdr w:val="nil"/>
          <w:lang w:val="es-ES_tradnl" w:eastAsia="es-CR"/>
        </w:rPr>
        <w:t xml:space="preserve"> dictamen legal emitido por la </w:t>
      </w:r>
      <w:proofErr w:type="spellStart"/>
      <w:r w:rsidRPr="00ED10C0">
        <w:rPr>
          <w:rFonts w:ascii="Arial" w:hAnsi="Arial" w:cs="Arial"/>
          <w:color w:val="000000"/>
          <w:kern w:val="1"/>
          <w:sz w:val="22"/>
          <w:szCs w:val="22"/>
          <w:u w:color="000000"/>
          <w:bdr w:val="nil"/>
          <w:lang w:val="es-ES_tradnl" w:eastAsia="es-CR"/>
        </w:rPr>
        <w:t>MSc</w:t>
      </w:r>
      <w:proofErr w:type="spellEnd"/>
      <w:r w:rsidRPr="00ED10C0">
        <w:rPr>
          <w:rFonts w:ascii="Arial" w:hAnsi="Arial" w:cs="Arial"/>
          <w:color w:val="000000"/>
          <w:kern w:val="1"/>
          <w:sz w:val="22"/>
          <w:szCs w:val="22"/>
          <w:u w:color="000000"/>
          <w:bdr w:val="nil"/>
          <w:lang w:val="es-ES_tradnl" w:eastAsia="es-CR"/>
        </w:rPr>
        <w:t xml:space="preserve">. Grettel Ortiz, Directora de la Asesoría Legal, AL-084-2017, recomienda solicitar al Consejo Institucional : </w:t>
      </w:r>
    </w:p>
    <w:p w:rsidR="00ED10C0" w:rsidRPr="00ED10C0" w:rsidRDefault="00ED10C0" w:rsidP="00ED10C0">
      <w:pPr>
        <w:ind w:left="708"/>
        <w:rPr>
          <w:rFonts w:ascii="Arial" w:hAnsi="Arial" w:cs="Arial"/>
          <w:color w:val="000000"/>
          <w:kern w:val="1"/>
          <w:sz w:val="22"/>
          <w:szCs w:val="22"/>
          <w:u w:color="000000"/>
          <w:bdr w:val="nil"/>
          <w:lang w:val="es-CR" w:eastAsia="es-CR"/>
        </w:rPr>
      </w:pPr>
    </w:p>
    <w:p w:rsidR="00ED10C0" w:rsidRPr="00ED10C0" w:rsidRDefault="00ED10C0" w:rsidP="00ED10C0">
      <w:pPr>
        <w:tabs>
          <w:tab w:val="left" w:pos="8364"/>
        </w:tabs>
        <w:ind w:left="851" w:right="425"/>
        <w:jc w:val="both"/>
        <w:rPr>
          <w:rFonts w:ascii="Arial" w:hAnsi="Arial" w:cs="Arial"/>
          <w:i/>
          <w:sz w:val="20"/>
          <w:szCs w:val="20"/>
          <w:lang w:val="es-ES_tradnl" w:eastAsia="es-CR"/>
        </w:rPr>
      </w:pPr>
      <w:r w:rsidRPr="00ED10C0">
        <w:rPr>
          <w:rFonts w:ascii="Arial" w:hAnsi="Arial" w:cs="Arial"/>
          <w:color w:val="000000"/>
          <w:kern w:val="1"/>
          <w:sz w:val="20"/>
          <w:szCs w:val="20"/>
          <w:u w:color="000000"/>
          <w:bdr w:val="nil"/>
          <w:lang w:val="es-ES_tradnl" w:eastAsia="es-CR"/>
        </w:rPr>
        <w:t>“…</w:t>
      </w:r>
      <w:r w:rsidRPr="00ED10C0">
        <w:rPr>
          <w:rFonts w:ascii="Arial" w:eastAsia="Cambria" w:hAnsi="Arial" w:cs="Arial"/>
          <w:i/>
          <w:sz w:val="20"/>
          <w:szCs w:val="20"/>
          <w:lang w:val="es-ES_tradnl" w:eastAsia="en-US"/>
        </w:rPr>
        <w:t xml:space="preserve">el rubro correspondiente a cobro por concepto de matrícula dentro del Instituto Tecnológico de Costa Rica, se realiza con base en la figura denominada “crédito” y no con base en bloques, faces o materias del programa de estudio. Al efecto el artículo 14 del Reglamento del Régimen Enseñanza-Aprendizaje del ITCR, establece en lo que interesa que </w:t>
      </w:r>
      <w:r w:rsidRPr="00ED10C0">
        <w:rPr>
          <w:rFonts w:ascii="Arial" w:hAnsi="Arial" w:cs="Arial"/>
          <w:i/>
          <w:sz w:val="20"/>
          <w:szCs w:val="20"/>
          <w:lang w:val="es-ES_tradnl" w:eastAsia="es-CR"/>
        </w:rPr>
        <w:t>los derechos de estudio se calcularán multiplicando el valor ordinario del crédito, con los créditos matriculados por el estudiante.</w:t>
      </w:r>
    </w:p>
    <w:p w:rsidR="00ED10C0" w:rsidRPr="00ED10C0" w:rsidRDefault="00ED10C0" w:rsidP="00ED10C0">
      <w:pPr>
        <w:tabs>
          <w:tab w:val="left" w:pos="8364"/>
        </w:tabs>
        <w:ind w:left="851" w:right="425"/>
        <w:jc w:val="both"/>
        <w:rPr>
          <w:rFonts w:ascii="Arial" w:hAnsi="Arial" w:cs="Arial"/>
          <w:i/>
          <w:sz w:val="10"/>
          <w:szCs w:val="10"/>
          <w:lang w:val="es-ES_tradnl" w:eastAsia="es-CR"/>
        </w:rPr>
      </w:pPr>
    </w:p>
    <w:p w:rsidR="00ED10C0" w:rsidRPr="00ED10C0" w:rsidRDefault="00ED10C0" w:rsidP="00ED10C0">
      <w:pPr>
        <w:tabs>
          <w:tab w:val="left" w:pos="8364"/>
        </w:tabs>
        <w:ind w:left="851" w:right="425"/>
        <w:jc w:val="both"/>
        <w:rPr>
          <w:rFonts w:ascii="Arial" w:eastAsia="Cambria" w:hAnsi="Arial" w:cs="Arial"/>
          <w:i/>
          <w:sz w:val="20"/>
          <w:szCs w:val="20"/>
          <w:lang w:val="es-ES_tradnl" w:eastAsia="en-US"/>
        </w:rPr>
      </w:pPr>
      <w:r w:rsidRPr="00ED10C0">
        <w:rPr>
          <w:rFonts w:ascii="Arial" w:eastAsia="Cambria" w:hAnsi="Arial" w:cs="Arial"/>
          <w:i/>
          <w:sz w:val="20"/>
          <w:szCs w:val="20"/>
          <w:lang w:val="es-ES_tradnl" w:eastAsia="en-US"/>
        </w:rPr>
        <w:t xml:space="preserve">Debe tenerse presente, que el Reglamento del Régimen Enseñanza-Aprendizaje del ITCR, es una norma de aplicación general para todos los estudiantes que ingresen al ITCR, esta norma no hace distinción alguna entre estudiantes de pregrado, grado o postgrado, de allí que en lo pertinente es aplicable para los estudiantes del Programa de Doctorado de la Escuela que usted dirige. </w:t>
      </w:r>
    </w:p>
    <w:p w:rsidR="00ED10C0" w:rsidRPr="00ED10C0" w:rsidRDefault="00ED10C0" w:rsidP="00ED10C0">
      <w:pPr>
        <w:tabs>
          <w:tab w:val="left" w:pos="8364"/>
        </w:tabs>
        <w:ind w:left="851" w:right="425"/>
        <w:jc w:val="both"/>
        <w:rPr>
          <w:rFonts w:ascii="Arial" w:eastAsia="Cambria" w:hAnsi="Arial" w:cs="Arial"/>
          <w:i/>
          <w:sz w:val="10"/>
          <w:szCs w:val="10"/>
          <w:lang w:val="es-ES_tradnl" w:eastAsia="en-US"/>
        </w:rPr>
      </w:pPr>
    </w:p>
    <w:p w:rsidR="00ED10C0" w:rsidRPr="00ED10C0" w:rsidRDefault="00ED10C0" w:rsidP="00ED10C0">
      <w:pPr>
        <w:tabs>
          <w:tab w:val="left" w:pos="8364"/>
        </w:tabs>
        <w:ind w:left="851" w:right="425"/>
        <w:jc w:val="both"/>
        <w:rPr>
          <w:rFonts w:ascii="Arial" w:eastAsia="Cambria" w:hAnsi="Arial" w:cs="Arial"/>
          <w:i/>
          <w:sz w:val="20"/>
          <w:szCs w:val="20"/>
          <w:lang w:val="es-ES_tradnl" w:eastAsia="en-US"/>
        </w:rPr>
      </w:pPr>
      <w:r w:rsidRPr="00ED10C0">
        <w:rPr>
          <w:rFonts w:ascii="Arial" w:eastAsia="Cambria" w:hAnsi="Arial" w:cs="Arial"/>
          <w:i/>
          <w:sz w:val="20"/>
          <w:szCs w:val="20"/>
          <w:lang w:val="es-ES_tradnl" w:eastAsia="en-US"/>
        </w:rPr>
        <w:t xml:space="preserve">Ahora bien, a fin de asegurar el equilibrio financiero del programa de Posgrados de su Escuela, esta Asesoría estaría recomendándole someter el presente asunto ante el Consejo Institucional, todo a fin de que sea esa instancia la encargada de interpretar si en la norma aquí referenciada se podría equiparar la definición de la palabra “crédito” a “curso o materia, o bloque” de un programa de estudios. Esto último, con fundamento en el numeral 18 </w:t>
      </w:r>
      <w:proofErr w:type="gramStart"/>
      <w:r w:rsidRPr="00ED10C0">
        <w:rPr>
          <w:rFonts w:ascii="Arial" w:eastAsia="Cambria" w:hAnsi="Arial" w:cs="Arial"/>
          <w:i/>
          <w:sz w:val="20"/>
          <w:szCs w:val="20"/>
          <w:lang w:val="es-ES_tradnl" w:eastAsia="en-US"/>
        </w:rPr>
        <w:t>inciso</w:t>
      </w:r>
      <w:proofErr w:type="gramEnd"/>
      <w:r w:rsidRPr="00ED10C0">
        <w:rPr>
          <w:rFonts w:ascii="Arial" w:eastAsia="Cambria" w:hAnsi="Arial" w:cs="Arial"/>
          <w:i/>
          <w:sz w:val="20"/>
          <w:szCs w:val="20"/>
          <w:lang w:val="es-ES_tradnl" w:eastAsia="en-US"/>
        </w:rPr>
        <w:t xml:space="preserve"> c) del Estatuto Orgánico del ITCR.      </w:t>
      </w:r>
    </w:p>
    <w:p w:rsidR="00ED10C0" w:rsidRPr="00ED10C0" w:rsidRDefault="00ED10C0" w:rsidP="00ED10C0">
      <w:pPr>
        <w:ind w:left="851" w:right="425"/>
        <w:jc w:val="both"/>
        <w:rPr>
          <w:rFonts w:ascii="Arial" w:hAnsi="Arial" w:cs="Arial"/>
          <w:color w:val="000000"/>
          <w:kern w:val="1"/>
          <w:sz w:val="22"/>
          <w:szCs w:val="22"/>
          <w:u w:color="000000"/>
          <w:bdr w:val="nil"/>
          <w:lang w:val="es-ES_tradnl" w:eastAsia="es-CR"/>
        </w:rPr>
      </w:pPr>
    </w:p>
    <w:p w:rsidR="00ED10C0" w:rsidRPr="00ED10C0" w:rsidRDefault="00ED10C0" w:rsidP="00ED10C0">
      <w:pPr>
        <w:ind w:left="851" w:right="425"/>
        <w:jc w:val="both"/>
        <w:rPr>
          <w:rFonts w:ascii="Arial" w:hAnsi="Arial" w:cs="Arial"/>
          <w:color w:val="000000"/>
          <w:kern w:val="1"/>
          <w:sz w:val="22"/>
          <w:szCs w:val="22"/>
          <w:u w:color="000000"/>
          <w:bdr w:val="nil"/>
          <w:lang w:val="es-ES_tradnl" w:eastAsia="es-CR"/>
        </w:rPr>
      </w:pPr>
    </w:p>
    <w:p w:rsidR="00ED10C0" w:rsidRPr="00ED10C0" w:rsidRDefault="00ED10C0" w:rsidP="00ED10C0">
      <w:pPr>
        <w:ind w:left="851" w:right="425"/>
        <w:jc w:val="both"/>
        <w:rPr>
          <w:rFonts w:ascii="Arial" w:hAnsi="Arial" w:cs="Arial"/>
          <w:color w:val="000000"/>
          <w:kern w:val="1"/>
          <w:sz w:val="22"/>
          <w:szCs w:val="22"/>
          <w:u w:color="000000"/>
          <w:bdr w:val="nil"/>
          <w:lang w:val="es-ES_tradnl" w:eastAsia="es-CR"/>
        </w:rPr>
      </w:pPr>
    </w:p>
    <w:p w:rsidR="00ED10C0" w:rsidRPr="00ED10C0" w:rsidRDefault="00ED10C0" w:rsidP="00ED10C0">
      <w:pPr>
        <w:ind w:left="851" w:right="425"/>
        <w:jc w:val="both"/>
        <w:rPr>
          <w:rFonts w:ascii="Arial" w:hAnsi="Arial" w:cs="Arial"/>
          <w:color w:val="000000"/>
          <w:kern w:val="1"/>
          <w:sz w:val="22"/>
          <w:szCs w:val="22"/>
          <w:u w:color="000000"/>
          <w:bdr w:val="nil"/>
          <w:lang w:val="es-ES_tradnl" w:eastAsia="es-CR"/>
        </w:rPr>
      </w:pPr>
    </w:p>
    <w:p w:rsidR="00ED10C0" w:rsidRPr="00ED10C0" w:rsidRDefault="00ED10C0" w:rsidP="00ED10C0">
      <w:pPr>
        <w:tabs>
          <w:tab w:val="left" w:pos="426"/>
        </w:tabs>
        <w:ind w:left="426" w:right="-1"/>
        <w:contextualSpacing/>
        <w:jc w:val="both"/>
        <w:rPr>
          <w:rFonts w:ascii="Arial" w:hAnsi="Arial" w:cs="Arial"/>
          <w:sz w:val="22"/>
          <w:szCs w:val="22"/>
          <w:lang w:val="es-CR" w:eastAsia="es-CR"/>
        </w:rPr>
      </w:pPr>
      <w:r w:rsidRPr="00ED10C0">
        <w:rPr>
          <w:rFonts w:ascii="Arial" w:hAnsi="Arial" w:cs="Arial"/>
          <w:color w:val="000000"/>
          <w:kern w:val="1"/>
          <w:sz w:val="22"/>
          <w:szCs w:val="22"/>
          <w:u w:color="000000"/>
          <w:bdr w:val="nil"/>
          <w:lang w:val="es-ES_tradnl" w:eastAsia="es-CR"/>
        </w:rPr>
        <w:t xml:space="preserve">Por lo que de acuerdo a los argumentos solicita a la Comisión elevar al  Consejo Institucional una propuesta para modificar el </w:t>
      </w:r>
      <w:r w:rsidRPr="00ED10C0">
        <w:rPr>
          <w:rFonts w:ascii="Arial" w:hAnsi="Arial" w:cs="Arial"/>
          <w:sz w:val="22"/>
          <w:szCs w:val="22"/>
          <w:lang w:val="es-CR" w:eastAsia="es-CR"/>
        </w:rPr>
        <w:t xml:space="preserve"> Artículo 14 de Reglamento de Enseñanza Aprendizaje.  Los integrantes de la Comisión realizan las observaciones y aclaradas las dudas se les solicita enviar por escrito la modificación solicitada.</w:t>
      </w:r>
    </w:p>
    <w:p w:rsidR="00ED10C0" w:rsidRPr="00ED10C0" w:rsidRDefault="00ED10C0" w:rsidP="00ED10C0">
      <w:pPr>
        <w:ind w:left="851" w:right="425"/>
        <w:jc w:val="both"/>
        <w:rPr>
          <w:rFonts w:ascii="Arial" w:hAnsi="Arial" w:cs="Arial"/>
          <w:sz w:val="18"/>
          <w:szCs w:val="18"/>
          <w:lang w:val="es-CR" w:eastAsia="es-CR"/>
        </w:rPr>
      </w:pPr>
    </w:p>
    <w:p w:rsidR="00ED10C0" w:rsidRPr="00ED10C0" w:rsidRDefault="00ED10C0" w:rsidP="00ED10C0">
      <w:pPr>
        <w:numPr>
          <w:ilvl w:val="0"/>
          <w:numId w:val="10"/>
        </w:numPr>
        <w:tabs>
          <w:tab w:val="left" w:pos="426"/>
        </w:tabs>
        <w:ind w:left="426" w:right="-1" w:hanging="426"/>
        <w:contextualSpacing/>
        <w:jc w:val="both"/>
        <w:rPr>
          <w:rFonts w:ascii="Arial" w:hAnsi="Arial" w:cs="Arial"/>
          <w:color w:val="000000"/>
          <w:kern w:val="1"/>
          <w:sz w:val="22"/>
          <w:szCs w:val="22"/>
          <w:u w:color="000000"/>
          <w:bdr w:val="nil"/>
          <w:lang w:val="es-ES_tradnl" w:eastAsia="es-CR"/>
        </w:rPr>
      </w:pPr>
      <w:r w:rsidRPr="00ED10C0">
        <w:rPr>
          <w:rFonts w:ascii="Arial" w:hAnsi="Arial" w:cs="Arial"/>
          <w:color w:val="000000"/>
          <w:kern w:val="1"/>
          <w:sz w:val="22"/>
          <w:szCs w:val="22"/>
          <w:u w:color="000000"/>
          <w:bdr w:val="nil"/>
          <w:lang w:val="es-ES_tradnl" w:eastAsia="es-CR"/>
        </w:rPr>
        <w:t xml:space="preserve">La Secretaría del Consejo Institucional recibió el oficio AE-179-2017, con fecha de recibido 17 de marzo de 2017, suscrito por el Dr. Alejandro Masís Arce, Director de la Escuela de Administración de Empresas, dirigido al Dr. Bernal Martínez Gutiérrez, Coordinador de la Comisión de Planificación y Administración, en el cual solicita la modificación del artículo 14 del Reglamento Enseñanza Aprendizaje en el ITCR, para que se lea de la siguiente manera </w:t>
      </w:r>
    </w:p>
    <w:p w:rsidR="00ED10C0" w:rsidRPr="00ED10C0" w:rsidRDefault="00ED10C0" w:rsidP="00ED10C0">
      <w:pPr>
        <w:shd w:val="clear" w:color="auto" w:fill="FFFFFF"/>
        <w:ind w:left="994" w:right="425"/>
        <w:jc w:val="both"/>
        <w:rPr>
          <w:rFonts w:ascii="Arial" w:hAnsi="Arial" w:cs="Arial"/>
          <w:sz w:val="16"/>
          <w:szCs w:val="16"/>
          <w:lang w:val="es-CR" w:eastAsia="es-CR"/>
        </w:rPr>
      </w:pPr>
    </w:p>
    <w:p w:rsidR="00ED10C0" w:rsidRPr="00ED10C0" w:rsidRDefault="00ED10C0" w:rsidP="00ED10C0">
      <w:pPr>
        <w:shd w:val="clear" w:color="auto" w:fill="FFFFFF"/>
        <w:ind w:left="851" w:right="425"/>
        <w:jc w:val="both"/>
        <w:rPr>
          <w:rFonts w:ascii="Arial" w:hAnsi="Arial" w:cs="Arial"/>
          <w:i/>
          <w:sz w:val="20"/>
          <w:szCs w:val="20"/>
          <w:lang w:val="es-CR" w:eastAsia="es-CR"/>
        </w:rPr>
      </w:pPr>
      <w:r w:rsidRPr="00ED10C0">
        <w:rPr>
          <w:rFonts w:ascii="Arial" w:hAnsi="Arial" w:cs="Arial"/>
          <w:i/>
          <w:sz w:val="20"/>
          <w:szCs w:val="20"/>
          <w:lang w:val="es-CR" w:eastAsia="es-CR"/>
        </w:rPr>
        <w:t>“Los derechos de estudio se calcularán multiplicando el valor ordinario del crédito con los créditos matriculados por el estudiante, pero para calcular la suma que debe pagar el estudiante se restarán los montos otorgados como becas ordinarias, becas especiales, préstamos y exoneraciones que sean establecidas en otros reglamentos o normativas institucionales y en particular en las establecidas en el Reglamento de Becas y Préstamos Estudiantiles del Instituto Tecnológico de Costa Rica.</w:t>
      </w:r>
    </w:p>
    <w:p w:rsidR="00ED10C0" w:rsidRPr="00ED10C0" w:rsidRDefault="00ED10C0" w:rsidP="00ED10C0">
      <w:pPr>
        <w:shd w:val="clear" w:color="auto" w:fill="FFFFFF"/>
        <w:ind w:left="851" w:right="425"/>
        <w:jc w:val="both"/>
        <w:rPr>
          <w:rFonts w:ascii="Arial" w:hAnsi="Arial" w:cs="Arial"/>
          <w:i/>
          <w:sz w:val="20"/>
          <w:szCs w:val="20"/>
          <w:lang w:val="es-CR" w:eastAsia="es-CR"/>
        </w:rPr>
      </w:pPr>
    </w:p>
    <w:p w:rsidR="00ED10C0" w:rsidRPr="00ED10C0" w:rsidRDefault="00ED10C0" w:rsidP="00ED10C0">
      <w:pPr>
        <w:shd w:val="clear" w:color="auto" w:fill="FFFFFF"/>
        <w:ind w:left="851" w:right="425"/>
        <w:jc w:val="both"/>
        <w:rPr>
          <w:rFonts w:ascii="Arial" w:hAnsi="Arial" w:cs="Arial"/>
          <w:i/>
          <w:sz w:val="20"/>
          <w:szCs w:val="20"/>
          <w:lang w:val="es-CR" w:eastAsia="es-CR"/>
        </w:rPr>
      </w:pPr>
      <w:r w:rsidRPr="00ED10C0">
        <w:rPr>
          <w:rFonts w:ascii="Arial" w:hAnsi="Arial" w:cs="Arial"/>
          <w:i/>
          <w:sz w:val="20"/>
          <w:szCs w:val="20"/>
          <w:lang w:val="es-CR" w:eastAsia="es-CR"/>
        </w:rPr>
        <w:t>Se exceptúa del párrafo anterior los posgrados impartidos por la Institución, para lo cual el Consejo de Posgrado definirá cuáles serán los montos a cobrar en cada uno de los componentes de la malla curricular, de acuerdo con los costos de operación en los que se incurra”.</w:t>
      </w:r>
    </w:p>
    <w:p w:rsidR="00ED10C0" w:rsidRPr="00ED10C0" w:rsidRDefault="00ED10C0" w:rsidP="00ED10C0">
      <w:pPr>
        <w:shd w:val="clear" w:color="auto" w:fill="FFFFFF"/>
        <w:ind w:left="851" w:right="425"/>
        <w:jc w:val="both"/>
        <w:rPr>
          <w:rFonts w:ascii="Arial" w:hAnsi="Arial" w:cs="Arial"/>
          <w:i/>
          <w:sz w:val="20"/>
          <w:szCs w:val="20"/>
          <w:lang w:val="es-CR" w:eastAsia="es-CR"/>
        </w:rPr>
      </w:pPr>
    </w:p>
    <w:p w:rsidR="00ED10C0" w:rsidRPr="00ED10C0" w:rsidRDefault="00ED10C0" w:rsidP="00ED10C0">
      <w:pPr>
        <w:numPr>
          <w:ilvl w:val="0"/>
          <w:numId w:val="10"/>
        </w:numPr>
        <w:tabs>
          <w:tab w:val="left" w:pos="426"/>
        </w:tabs>
        <w:ind w:left="709" w:right="-1" w:hanging="426"/>
        <w:contextualSpacing/>
        <w:jc w:val="both"/>
        <w:rPr>
          <w:rFonts w:ascii="Arial" w:eastAsia="Cambria" w:hAnsi="Arial" w:cs="Arial"/>
          <w:lang w:val="es-ES_tradnl" w:eastAsia="en-US"/>
        </w:rPr>
      </w:pPr>
      <w:r w:rsidRPr="00ED10C0">
        <w:rPr>
          <w:rFonts w:ascii="Arial" w:hAnsi="Arial" w:cs="Arial"/>
          <w:lang w:val="es-ES_tradnl"/>
        </w:rPr>
        <w:t xml:space="preserve">La Comisión de Planificación y Administración, en la reunión No. 727-2017 del 12 de junio de 2017, </w:t>
      </w:r>
      <w:r w:rsidRPr="00ED10C0">
        <w:rPr>
          <w:rFonts w:ascii="Arial" w:hAnsi="Arial" w:cs="Arial"/>
        </w:rPr>
        <w:t>revisa la documentación citada, se discute ampliamente el tema y</w:t>
      </w:r>
      <w:r w:rsidRPr="00ED10C0">
        <w:rPr>
          <w:rFonts w:ascii="Arial" w:eastAsia="Cambria" w:hAnsi="Arial" w:cs="Arial"/>
          <w:lang w:val="es-ES_tradnl" w:eastAsia="en-US"/>
        </w:rPr>
        <w:t xml:space="preserve">  concluye elevar la propuesta al Pleno para modificar el Artículo 14 del Reglamento Régimen Enseñanza Aprendizaje, para que se lea: </w:t>
      </w:r>
    </w:p>
    <w:p w:rsidR="00ED10C0" w:rsidRPr="00ED10C0" w:rsidRDefault="00ED10C0" w:rsidP="00ED10C0">
      <w:pPr>
        <w:tabs>
          <w:tab w:val="left" w:pos="426"/>
        </w:tabs>
        <w:ind w:left="426" w:right="-1"/>
        <w:contextualSpacing/>
        <w:jc w:val="both"/>
        <w:rPr>
          <w:rFonts w:ascii="Arial" w:eastAsia="Cambria" w:hAnsi="Arial" w:cs="Arial"/>
          <w:lang w:val="es-ES_tradnl" w:eastAsia="en-US"/>
        </w:rPr>
      </w:pPr>
    </w:p>
    <w:tbl>
      <w:tblPr>
        <w:tblStyle w:val="Tablaconcuadrcula6"/>
        <w:tblW w:w="0" w:type="auto"/>
        <w:tblInd w:w="426" w:type="dxa"/>
        <w:tblLook w:val="04A0" w:firstRow="1" w:lastRow="0" w:firstColumn="1" w:lastColumn="0" w:noHBand="0" w:noVBand="1"/>
      </w:tblPr>
      <w:tblGrid>
        <w:gridCol w:w="4247"/>
        <w:gridCol w:w="4106"/>
      </w:tblGrid>
      <w:tr w:rsidR="00ED10C0" w:rsidRPr="00ED10C0" w:rsidTr="002F3F81">
        <w:tc>
          <w:tcPr>
            <w:tcW w:w="4247" w:type="dxa"/>
          </w:tcPr>
          <w:p w:rsidR="00ED10C0" w:rsidRPr="00ED10C0" w:rsidRDefault="00ED10C0" w:rsidP="00ED10C0">
            <w:pPr>
              <w:tabs>
                <w:tab w:val="left" w:pos="426"/>
              </w:tabs>
              <w:ind w:right="-1"/>
              <w:contextualSpacing/>
              <w:jc w:val="center"/>
              <w:rPr>
                <w:rFonts w:ascii="Arial" w:hAnsi="Arial" w:cs="Arial"/>
                <w:b/>
                <w:i/>
                <w:sz w:val="20"/>
                <w:szCs w:val="20"/>
                <w:lang w:val="es-ES_tradnl" w:eastAsia="en-US"/>
              </w:rPr>
            </w:pPr>
            <w:r w:rsidRPr="00ED10C0">
              <w:rPr>
                <w:rFonts w:ascii="Arial" w:hAnsi="Arial" w:cs="Arial"/>
                <w:b/>
                <w:i/>
                <w:sz w:val="20"/>
                <w:szCs w:val="20"/>
                <w:lang w:val="es-ES_tradnl" w:eastAsia="en-US"/>
              </w:rPr>
              <w:t>ACTUAL</w:t>
            </w:r>
          </w:p>
        </w:tc>
        <w:tc>
          <w:tcPr>
            <w:tcW w:w="4106" w:type="dxa"/>
          </w:tcPr>
          <w:p w:rsidR="00ED10C0" w:rsidRPr="00ED10C0" w:rsidRDefault="00ED10C0" w:rsidP="00ED10C0">
            <w:pPr>
              <w:tabs>
                <w:tab w:val="left" w:pos="426"/>
              </w:tabs>
              <w:ind w:right="-1"/>
              <w:contextualSpacing/>
              <w:jc w:val="center"/>
              <w:rPr>
                <w:rFonts w:ascii="Arial" w:hAnsi="Arial" w:cs="Arial"/>
                <w:b/>
                <w:i/>
                <w:sz w:val="20"/>
                <w:szCs w:val="20"/>
                <w:lang w:val="es-ES_tradnl" w:eastAsia="en-US"/>
              </w:rPr>
            </w:pPr>
            <w:r w:rsidRPr="00ED10C0">
              <w:rPr>
                <w:rFonts w:ascii="Arial" w:hAnsi="Arial" w:cs="Arial"/>
                <w:b/>
                <w:i/>
                <w:sz w:val="20"/>
                <w:szCs w:val="20"/>
                <w:lang w:val="es-ES_tradnl" w:eastAsia="en-US"/>
              </w:rPr>
              <w:t>PROPUESTA</w:t>
            </w:r>
          </w:p>
        </w:tc>
      </w:tr>
      <w:tr w:rsidR="00ED10C0" w:rsidRPr="00ED10C0" w:rsidTr="002F3F81">
        <w:trPr>
          <w:trHeight w:val="4159"/>
        </w:trPr>
        <w:tc>
          <w:tcPr>
            <w:tcW w:w="4247" w:type="dxa"/>
          </w:tcPr>
          <w:p w:rsidR="00ED10C0" w:rsidRPr="00ED10C0" w:rsidRDefault="00ED10C0" w:rsidP="00ED10C0">
            <w:pPr>
              <w:spacing w:before="100" w:beforeAutospacing="1" w:after="100" w:afterAutospacing="1"/>
              <w:rPr>
                <w:rFonts w:ascii="Arial" w:hAnsi="Arial" w:cs="Arial"/>
                <w:sz w:val="20"/>
                <w:szCs w:val="20"/>
                <w:lang w:val="es-ES_tradnl" w:eastAsia="es-CR"/>
              </w:rPr>
            </w:pPr>
            <w:r w:rsidRPr="00ED10C0">
              <w:rPr>
                <w:rFonts w:ascii="Arial" w:hAnsi="Arial" w:cs="Arial"/>
                <w:sz w:val="20"/>
                <w:szCs w:val="20"/>
                <w:lang w:val="es-ES_tradnl" w:eastAsia="es-CR"/>
              </w:rPr>
              <w:t>Artículo 14</w:t>
            </w:r>
          </w:p>
          <w:p w:rsidR="00ED10C0" w:rsidRPr="00ED10C0" w:rsidRDefault="00ED10C0" w:rsidP="00ED10C0">
            <w:pPr>
              <w:spacing w:before="100" w:beforeAutospacing="1" w:after="100" w:afterAutospacing="1"/>
              <w:jc w:val="both"/>
              <w:rPr>
                <w:rFonts w:ascii="Arial" w:hAnsi="Arial" w:cs="Arial"/>
                <w:sz w:val="20"/>
                <w:szCs w:val="20"/>
                <w:lang w:val="es-ES_tradnl" w:eastAsia="es-CR"/>
              </w:rPr>
            </w:pPr>
            <w:r w:rsidRPr="00ED10C0">
              <w:rPr>
                <w:rFonts w:ascii="Arial" w:hAnsi="Arial" w:cs="Arial"/>
                <w:sz w:val="20"/>
                <w:szCs w:val="20"/>
                <w:lang w:val="es-ES_tradnl" w:eastAsia="es-CR"/>
              </w:rPr>
              <w:t>Los derechos de estudio se calcularán multiplicando el valor ordinario del crédito con los créditos matriculados por el estudiante, pero para calcular la suma que debe pagar el estudiante se restarán los montos otorgados como becas ordinarias, becas especiales, préstamos y exoneraciones que sean establecidas en otros reglamentos o normativas institucionales y en particular en las establecidas en el Reglamento de Becas y Préstamos Estudiantiles del Instituto Tecnológico de Costa Rica.”</w:t>
            </w:r>
          </w:p>
          <w:p w:rsidR="00ED10C0" w:rsidRPr="00ED10C0" w:rsidRDefault="00ED10C0" w:rsidP="00ED10C0">
            <w:pPr>
              <w:spacing w:before="100" w:beforeAutospacing="1" w:after="100" w:afterAutospacing="1"/>
              <w:rPr>
                <w:rFonts w:ascii="Arial" w:hAnsi="Arial" w:cs="Arial"/>
                <w:sz w:val="20"/>
                <w:szCs w:val="20"/>
                <w:lang w:val="es-ES_tradnl" w:eastAsia="es-CR"/>
              </w:rPr>
            </w:pPr>
          </w:p>
        </w:tc>
        <w:tc>
          <w:tcPr>
            <w:tcW w:w="4106" w:type="dxa"/>
          </w:tcPr>
          <w:p w:rsidR="00ED10C0" w:rsidRPr="00ED10C0" w:rsidRDefault="00ED10C0" w:rsidP="00ED10C0">
            <w:pPr>
              <w:spacing w:before="100" w:beforeAutospacing="1" w:after="100" w:afterAutospacing="1"/>
              <w:rPr>
                <w:rFonts w:ascii="Arial" w:hAnsi="Arial" w:cs="Arial"/>
                <w:sz w:val="20"/>
                <w:szCs w:val="20"/>
                <w:lang w:val="es-ES_tradnl" w:eastAsia="es-CR"/>
              </w:rPr>
            </w:pPr>
            <w:r w:rsidRPr="00ED10C0">
              <w:rPr>
                <w:rFonts w:ascii="Arial" w:hAnsi="Arial" w:cs="Arial"/>
                <w:sz w:val="20"/>
                <w:szCs w:val="20"/>
                <w:lang w:val="es-ES_tradnl" w:eastAsia="es-CR"/>
              </w:rPr>
              <w:t>Artículo 14</w:t>
            </w:r>
          </w:p>
          <w:p w:rsidR="00ED10C0" w:rsidRPr="00ED10C0" w:rsidRDefault="00ED10C0" w:rsidP="00ED10C0">
            <w:pPr>
              <w:spacing w:before="100" w:beforeAutospacing="1" w:after="100" w:afterAutospacing="1"/>
              <w:jc w:val="both"/>
              <w:rPr>
                <w:rFonts w:ascii="Arial" w:hAnsi="Arial" w:cs="Arial"/>
                <w:sz w:val="20"/>
                <w:szCs w:val="20"/>
                <w:lang w:val="es-ES_tradnl" w:eastAsia="es-CR"/>
              </w:rPr>
            </w:pPr>
            <w:r w:rsidRPr="00ED10C0">
              <w:rPr>
                <w:rFonts w:ascii="Arial" w:hAnsi="Arial" w:cs="Arial"/>
                <w:sz w:val="20"/>
                <w:szCs w:val="20"/>
                <w:lang w:val="es-ES_tradnl" w:eastAsia="es-CR"/>
              </w:rPr>
              <w:t>Los derechos de estudio se calcularán multiplicando el valor ordinario del crédito con los créditos matriculados por el estudiante, pero para calcular la suma que debe pagar el estudiante se restarán los montos otorgados como becas ordinarias, becas especiales, préstamos y exoneraciones que sean establecidas en otros reglamentos o normativas institucionales y en particular en las establecidas en el Reglamento de Becas y Préstamos Estudiantiles del Instituto Tecnológico de Costa Rica.</w:t>
            </w:r>
          </w:p>
          <w:p w:rsidR="00ED10C0" w:rsidRPr="00ED10C0" w:rsidRDefault="00ED10C0" w:rsidP="00ED10C0">
            <w:pPr>
              <w:jc w:val="both"/>
              <w:rPr>
                <w:rFonts w:ascii="Arial" w:hAnsi="Arial" w:cs="Arial"/>
                <w:sz w:val="20"/>
                <w:szCs w:val="20"/>
                <w:lang w:val="es-ES_tradnl" w:eastAsia="en-US"/>
              </w:rPr>
            </w:pPr>
            <w:r w:rsidRPr="00ED10C0">
              <w:rPr>
                <w:rFonts w:ascii="Arial" w:hAnsi="Arial" w:cs="Arial"/>
                <w:sz w:val="20"/>
                <w:szCs w:val="20"/>
                <w:lang w:val="es-ES_tradnl" w:eastAsia="es-CR"/>
              </w:rPr>
              <w:t xml:space="preserve">Se exceptúa del párrafo anterior los posgrados impartidos por la Institución, para lo cual el Consejo de Posgrados, con el apoyo técnico del Departamento Financiero Contable, definirá cuáles serán los montos a cobrar para cada uno de los programas impartidos. </w:t>
            </w:r>
          </w:p>
        </w:tc>
      </w:tr>
    </w:tbl>
    <w:p w:rsidR="00ED10C0" w:rsidRPr="00ED10C0" w:rsidRDefault="00ED10C0" w:rsidP="00ED10C0">
      <w:pPr>
        <w:ind w:left="426" w:hanging="568"/>
        <w:jc w:val="both"/>
        <w:rPr>
          <w:rFonts w:ascii="Arial" w:eastAsia="Calibri" w:hAnsi="Arial" w:cs="Arial"/>
          <w:b/>
          <w:sz w:val="16"/>
          <w:szCs w:val="16"/>
          <w:lang w:val="es-ES_tradnl"/>
        </w:rPr>
      </w:pPr>
    </w:p>
    <w:p w:rsidR="00ED10C0" w:rsidRDefault="00ED10C0" w:rsidP="00ED10C0">
      <w:pPr>
        <w:ind w:left="426" w:hanging="568"/>
        <w:jc w:val="both"/>
        <w:rPr>
          <w:rFonts w:ascii="Arial" w:eastAsia="Calibri" w:hAnsi="Arial" w:cs="Arial"/>
          <w:b/>
          <w:lang w:val="es-ES_tradnl"/>
        </w:rPr>
      </w:pPr>
    </w:p>
    <w:p w:rsidR="00ED10C0" w:rsidRPr="00ED10C0" w:rsidRDefault="00ED10C0" w:rsidP="00ED10C0">
      <w:pPr>
        <w:ind w:left="426" w:hanging="568"/>
        <w:jc w:val="both"/>
        <w:rPr>
          <w:rFonts w:ascii="Arial" w:eastAsia="Calibri" w:hAnsi="Arial" w:cs="Arial"/>
          <w:b/>
          <w:lang w:val="es-ES_tradnl"/>
        </w:rPr>
      </w:pPr>
      <w:r w:rsidRPr="00ED10C0">
        <w:rPr>
          <w:rFonts w:ascii="Arial" w:eastAsia="Calibri" w:hAnsi="Arial" w:cs="Arial"/>
          <w:b/>
          <w:lang w:val="es-ES_tradnl"/>
        </w:rPr>
        <w:t>SE</w:t>
      </w:r>
      <w:r>
        <w:rPr>
          <w:rFonts w:ascii="Arial" w:eastAsia="Calibri" w:hAnsi="Arial" w:cs="Arial"/>
          <w:b/>
          <w:lang w:val="es-ES_tradnl"/>
        </w:rPr>
        <w:t xml:space="preserve"> ACUERDA</w:t>
      </w:r>
      <w:r w:rsidRPr="00ED10C0">
        <w:rPr>
          <w:rFonts w:ascii="Arial" w:eastAsia="Calibri" w:hAnsi="Arial" w:cs="Arial"/>
          <w:b/>
          <w:lang w:val="es-ES_tradnl"/>
        </w:rPr>
        <w:t>:</w:t>
      </w:r>
    </w:p>
    <w:p w:rsidR="00ED10C0" w:rsidRPr="00ED10C0" w:rsidRDefault="00ED10C0" w:rsidP="00ED10C0">
      <w:pPr>
        <w:jc w:val="both"/>
        <w:rPr>
          <w:rFonts w:ascii="Arial" w:eastAsia="Calibri" w:hAnsi="Arial" w:cs="Arial"/>
          <w:b/>
          <w:sz w:val="16"/>
          <w:szCs w:val="16"/>
          <w:lang w:val="es-ES_tradnl"/>
        </w:rPr>
      </w:pPr>
    </w:p>
    <w:p w:rsidR="00ED10C0" w:rsidRPr="00ED10C0" w:rsidRDefault="00ED10C0" w:rsidP="00ED10C0">
      <w:pPr>
        <w:numPr>
          <w:ilvl w:val="0"/>
          <w:numId w:val="8"/>
        </w:numPr>
        <w:ind w:left="426" w:right="-91" w:hanging="426"/>
        <w:jc w:val="both"/>
        <w:rPr>
          <w:rFonts w:ascii="Arial" w:hAnsi="Arial" w:cs="Arial"/>
          <w:lang w:val="es-CR" w:eastAsia="es-CR"/>
        </w:rPr>
      </w:pPr>
      <w:r w:rsidRPr="00ED10C0">
        <w:rPr>
          <w:rFonts w:ascii="Arial" w:hAnsi="Arial" w:cs="Arial"/>
          <w:lang w:val="es-CR" w:eastAsia="es-CR"/>
        </w:rPr>
        <w:t>Modificar el artículo 14 del Reglamento del Régimen Enseñanza Aprendizaje en el ITCR, para se lea de la siguiente manera</w:t>
      </w:r>
      <w:r w:rsidRPr="00ED10C0">
        <w:rPr>
          <w:rFonts w:ascii="Arial" w:eastAsia="Calibri" w:hAnsi="Arial" w:cs="Arial"/>
          <w:bCs/>
        </w:rPr>
        <w:t>.</w:t>
      </w:r>
    </w:p>
    <w:p w:rsidR="00ED10C0" w:rsidRPr="00ED10C0" w:rsidRDefault="00ED10C0" w:rsidP="00ED10C0">
      <w:pPr>
        <w:ind w:right="-91"/>
        <w:jc w:val="both"/>
        <w:rPr>
          <w:rFonts w:ascii="Arial" w:hAnsi="Arial" w:cs="Arial"/>
          <w:sz w:val="16"/>
          <w:szCs w:val="16"/>
          <w:lang w:val="es-ES_tradnl" w:eastAsia="es-CR"/>
        </w:rPr>
      </w:pPr>
    </w:p>
    <w:p w:rsidR="00ED10C0" w:rsidRPr="00ED10C0" w:rsidRDefault="00ED10C0" w:rsidP="00ED10C0">
      <w:pPr>
        <w:spacing w:before="120" w:after="120"/>
        <w:ind w:left="788"/>
        <w:jc w:val="both"/>
        <w:rPr>
          <w:rFonts w:ascii="Arial" w:hAnsi="Arial" w:cs="Arial"/>
        </w:rPr>
      </w:pPr>
      <w:r w:rsidRPr="00ED10C0">
        <w:rPr>
          <w:rFonts w:ascii="Arial" w:hAnsi="Arial" w:cs="Arial"/>
        </w:rPr>
        <w:t xml:space="preserve">Artículo 14 </w:t>
      </w:r>
    </w:p>
    <w:p w:rsidR="00ED10C0" w:rsidRPr="00ED10C0" w:rsidRDefault="00ED10C0" w:rsidP="00ED10C0">
      <w:pPr>
        <w:spacing w:before="100" w:beforeAutospacing="1" w:after="100" w:afterAutospacing="1"/>
        <w:ind w:left="786"/>
        <w:jc w:val="both"/>
        <w:rPr>
          <w:rFonts w:ascii="Arial" w:hAnsi="Arial" w:cs="Arial"/>
          <w:color w:val="404040" w:themeColor="text1" w:themeTint="BF"/>
        </w:rPr>
      </w:pPr>
      <w:r w:rsidRPr="00ED10C0">
        <w:rPr>
          <w:rFonts w:ascii="Arial" w:hAnsi="Arial" w:cs="Arial"/>
          <w:color w:val="404040" w:themeColor="text1" w:themeTint="BF"/>
        </w:rPr>
        <w:t>Los derechos de estudio se calcularán multiplicando el valor ordinario del crédito con los créditos matriculados por el estudiante, pero para calcular la suma que debe pagar el estudiante se restarán los montos otorgados como becas ordinarias, becas especiales, préstamos y exoneraciones que sean establecidas en otros reglamentos o normativas institucionales y en particular en las establecidas en el Reglamento de Becas y Préstamos Estudiantiles del Instituto Tecnológico de Costa Rica.</w:t>
      </w:r>
    </w:p>
    <w:p w:rsidR="00B36784" w:rsidRPr="00ED10C0" w:rsidRDefault="00ED10C0" w:rsidP="00ED10C0">
      <w:pPr>
        <w:spacing w:before="100" w:beforeAutospacing="1" w:after="100" w:afterAutospacing="1"/>
        <w:ind w:left="786"/>
        <w:jc w:val="both"/>
        <w:rPr>
          <w:rFonts w:ascii="Arial" w:hAnsi="Arial" w:cs="Arial"/>
          <w:color w:val="404040" w:themeColor="text1" w:themeTint="BF"/>
        </w:rPr>
      </w:pPr>
      <w:r w:rsidRPr="00ED10C0">
        <w:rPr>
          <w:rFonts w:ascii="Arial" w:hAnsi="Arial" w:cs="Arial"/>
          <w:color w:val="404040" w:themeColor="text1" w:themeTint="BF"/>
        </w:rPr>
        <w:t>Se exceptúa del párrafo anterior los posgrados impartidos por la Institución, para lo cual el Consejo de Posgrados, con el apoyo técnico del Departamento Financiero Contable, definirá cuáles serán los montos a cobrar para cada uno de los programas impartidos.</w:t>
      </w:r>
    </w:p>
    <w:p w:rsidR="002D6978" w:rsidRPr="00B36784" w:rsidRDefault="002D6978" w:rsidP="002D6978">
      <w:pPr>
        <w:autoSpaceDE w:val="0"/>
        <w:autoSpaceDN w:val="0"/>
        <w:adjustRightInd w:val="0"/>
        <w:jc w:val="both"/>
        <w:rPr>
          <w:rFonts w:ascii="Arial" w:hAnsi="Arial" w:cs="Arial"/>
          <w:b/>
          <w:sz w:val="16"/>
          <w:szCs w:val="16"/>
        </w:rPr>
      </w:pPr>
    </w:p>
    <w:p w:rsidR="00B36784" w:rsidRDefault="007742A1" w:rsidP="00ED10C0">
      <w:pPr>
        <w:numPr>
          <w:ilvl w:val="0"/>
          <w:numId w:val="8"/>
        </w:numPr>
        <w:ind w:left="426" w:right="-91" w:hanging="426"/>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6784" w:rsidRDefault="00B36784" w:rsidP="00B36784">
      <w:pPr>
        <w:autoSpaceDE w:val="0"/>
        <w:autoSpaceDN w:val="0"/>
        <w:ind w:right="-91"/>
        <w:jc w:val="both"/>
        <w:rPr>
          <w:rFonts w:ascii="Arial" w:hAnsi="Arial" w:cs="Arial"/>
          <w:b/>
          <w:lang w:val="es-CR"/>
        </w:rPr>
      </w:pPr>
    </w:p>
    <w:p w:rsidR="00ED10C0" w:rsidRPr="00ED10C0" w:rsidRDefault="007C46B5" w:rsidP="00ED10C0">
      <w:pPr>
        <w:autoSpaceDE w:val="0"/>
        <w:autoSpaceDN w:val="0"/>
        <w:adjustRightInd w:val="0"/>
        <w:jc w:val="both"/>
        <w:rPr>
          <w:rFonts w:ascii="Arial" w:eastAsia="Cambria" w:hAnsi="Arial" w:cs="Arial"/>
          <w:b/>
          <w:sz w:val="22"/>
          <w:szCs w:val="22"/>
          <w:lang w:val="es-ES_tradnl" w:eastAsia="en-US"/>
        </w:rPr>
      </w:pPr>
      <w:r w:rsidRPr="0026727D">
        <w:rPr>
          <w:rFonts w:ascii="Arial" w:hAnsi="Arial" w:cs="Arial"/>
          <w:b/>
          <w:lang w:val="es-CR"/>
        </w:rPr>
        <w:t xml:space="preserve"> </w:t>
      </w:r>
      <w:r w:rsidR="00ED10C0" w:rsidRPr="00ED10C0">
        <w:rPr>
          <w:rFonts w:ascii="Arial" w:eastAsia="Cambria" w:hAnsi="Arial" w:cs="Arial"/>
          <w:b/>
          <w:sz w:val="22"/>
          <w:szCs w:val="22"/>
          <w:lang w:val="es-ES_tradnl" w:eastAsia="en-US"/>
        </w:rPr>
        <w:t xml:space="preserve">PALABRAS CLAVE: Modificación - Artículo 14 – Reglamento   - </w:t>
      </w:r>
      <w:proofErr w:type="spellStart"/>
      <w:r w:rsidR="00ED10C0" w:rsidRPr="00ED10C0">
        <w:rPr>
          <w:rFonts w:ascii="Arial" w:eastAsia="Cambria" w:hAnsi="Arial" w:cs="Arial"/>
          <w:b/>
          <w:sz w:val="22"/>
          <w:szCs w:val="22"/>
          <w:lang w:val="es-ES_tradnl" w:eastAsia="en-US"/>
        </w:rPr>
        <w:t>REEA</w:t>
      </w:r>
      <w:proofErr w:type="spellEnd"/>
      <w:r w:rsidR="00ED10C0" w:rsidRPr="00ED10C0">
        <w:rPr>
          <w:rFonts w:ascii="Arial" w:eastAsia="Cambria" w:hAnsi="Arial" w:cs="Arial"/>
          <w:b/>
          <w:sz w:val="22"/>
          <w:szCs w:val="22"/>
          <w:lang w:val="es-ES_tradnl" w:eastAsia="en-US"/>
        </w:rPr>
        <w:t xml:space="preserve"> – </w:t>
      </w:r>
    </w:p>
    <w:p w:rsidR="00474B22" w:rsidRPr="00ED10C0" w:rsidRDefault="00474B22" w:rsidP="00B36784">
      <w:pPr>
        <w:autoSpaceDE w:val="0"/>
        <w:autoSpaceDN w:val="0"/>
        <w:ind w:right="-91"/>
        <w:jc w:val="both"/>
        <w:rPr>
          <w:rFonts w:ascii="Arial" w:hAnsi="Arial" w:cs="Arial"/>
          <w:b/>
          <w:lang w:val="es-ES_tradn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2D6978" w:rsidRDefault="0034046D" w:rsidP="009912AB">
            <w:pPr>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2D6978">
                  <w:pPr>
                    <w:ind w:left="-567" w:firstLine="567"/>
                    <w:jc w:val="both"/>
                    <w:rPr>
                      <w:rFonts w:ascii="Arial" w:eastAsia="Cambria" w:hAnsi="Arial" w:cs="Arial"/>
                      <w:b/>
                      <w:sz w:val="16"/>
                      <w:szCs w:val="16"/>
                      <w:lang w:val="es-ES_tradnl" w:eastAsia="en-US"/>
                    </w:rPr>
                  </w:pPr>
                </w:p>
                <w:p w:rsidR="00CC363D" w:rsidRDefault="00CC363D" w:rsidP="002D6978">
                  <w:pPr>
                    <w:ind w:left="-567" w:firstLine="567"/>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p w:rsidR="00CC363D" w:rsidRDefault="00CC363D"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B7AB0" w:rsidRDefault="001B7AB0"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r w:rsidR="005A1461">
                    <w:rPr>
                      <w:rFonts w:ascii="Arial" w:eastAsia="Cambria" w:hAnsi="Arial" w:cs="Arial"/>
                      <w:b/>
                      <w:sz w:val="16"/>
                      <w:szCs w:val="16"/>
                      <w:lang w:val="es-ES_tradnl" w:eastAsia="en-US"/>
                    </w:rPr>
                    <w:t xml:space="preserve"> (PUBLICAR)</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2D6978">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2D6978">
                  <w:pPr>
                    <w:rPr>
                      <w:rFonts w:ascii="Arial" w:eastAsia="Cambria" w:hAnsi="Arial" w:cs="Arial"/>
                      <w:b/>
                      <w:sz w:val="16"/>
                      <w:szCs w:val="16"/>
                      <w:lang w:val="es-CR"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07" w:rsidRDefault="007A7307">
      <w:r>
        <w:separator/>
      </w:r>
    </w:p>
  </w:endnote>
  <w:endnote w:type="continuationSeparator" w:id="0">
    <w:p w:rsidR="007A7307" w:rsidRDefault="007A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07" w:rsidRDefault="007A7307">
      <w:r>
        <w:separator/>
      </w:r>
    </w:p>
  </w:footnote>
  <w:footnote w:type="continuationSeparator" w:id="0">
    <w:p w:rsidR="007A7307" w:rsidRDefault="007A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10C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D10C0">
      <w:rPr>
        <w:rFonts w:ascii="Arial" w:eastAsia="Cambria" w:hAnsi="Arial" w:cs="Arial"/>
        <w:i/>
        <w:sz w:val="18"/>
        <w:szCs w:val="18"/>
        <w:lang w:val="es-ES_tradnl" w:eastAsia="x-none"/>
      </w:rPr>
      <w:t>17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10C0">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B36784">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4281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883241"/>
    <w:multiLevelType w:val="multilevel"/>
    <w:tmpl w:val="140A001F"/>
    <w:styleLink w:val="Estilo1"/>
    <w:lvl w:ilvl="0">
      <w:start w:val="1"/>
      <w:numFmt w:val="lowerLetter"/>
      <w:lvlText w:val="%1."/>
      <w:lvlJc w:val="left"/>
      <w:pPr>
        <w:ind w:left="360" w:hanging="360"/>
      </w:pPr>
      <w:rPr>
        <w:b/>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8BE7ED4"/>
    <w:multiLevelType w:val="hybridMultilevel"/>
    <w:tmpl w:val="83CA5C96"/>
    <w:lvl w:ilvl="0" w:tplc="A75022C0">
      <w:start w:val="1"/>
      <w:numFmt w:val="decimal"/>
      <w:lvlText w:val="%1."/>
      <w:lvlJc w:val="left"/>
      <w:pPr>
        <w:ind w:left="5464" w:hanging="360"/>
      </w:pPr>
      <w:rPr>
        <w:b/>
        <w:i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4" w15:restartNumberingAfterBreak="0">
    <w:nsid w:val="3C901DF9"/>
    <w:multiLevelType w:val="multilevel"/>
    <w:tmpl w:val="C3040D88"/>
    <w:lvl w:ilvl="0">
      <w:start w:val="4"/>
      <w:numFmt w:val="decimal"/>
      <w:lvlText w:val="%1."/>
      <w:lvlJc w:val="left"/>
      <w:pPr>
        <w:tabs>
          <w:tab w:val="num" w:pos="1637"/>
        </w:tabs>
        <w:ind w:left="1637" w:hanging="360"/>
      </w:pPr>
      <w:rPr>
        <w:rFonts w:cs="Times New Roman" w:hint="default"/>
        <w:b/>
        <w:bCs/>
        <w:sz w:val="24"/>
        <w:szCs w:val="24"/>
      </w:rPr>
    </w:lvl>
    <w:lvl w:ilvl="1">
      <w:start w:val="1"/>
      <w:numFmt w:val="lowerLetter"/>
      <w:lvlText w:val="%2."/>
      <w:lvlJc w:val="left"/>
      <w:pPr>
        <w:tabs>
          <w:tab w:val="num" w:pos="2093"/>
        </w:tabs>
        <w:ind w:left="2093" w:hanging="390"/>
      </w:pPr>
      <w:rPr>
        <w:rFonts w:hint="default"/>
        <w:b/>
        <w:bCs/>
        <w:i w:val="0"/>
        <w:sz w:val="20"/>
      </w:rPr>
    </w:lvl>
    <w:lvl w:ilvl="2">
      <w:start w:val="1"/>
      <w:numFmt w:val="decimal"/>
      <w:isLgl/>
      <w:lvlText w:val="%1.%2.%3"/>
      <w:lvlJc w:val="left"/>
      <w:pPr>
        <w:tabs>
          <w:tab w:val="num" w:pos="1997"/>
        </w:tabs>
        <w:ind w:left="1997" w:hanging="720"/>
      </w:pPr>
      <w:rPr>
        <w:rFonts w:cs="Times New Roman" w:hint="default"/>
        <w:b/>
      </w:rPr>
    </w:lvl>
    <w:lvl w:ilvl="3">
      <w:start w:val="1"/>
      <w:numFmt w:val="decimal"/>
      <w:isLgl/>
      <w:lvlText w:val="%1.%2.%3.%4"/>
      <w:lvlJc w:val="left"/>
      <w:pPr>
        <w:tabs>
          <w:tab w:val="num" w:pos="2575"/>
        </w:tabs>
        <w:ind w:left="2575" w:hanging="1080"/>
      </w:pPr>
      <w:rPr>
        <w:rFonts w:cs="Times New Roman" w:hint="default"/>
      </w:rPr>
    </w:lvl>
    <w:lvl w:ilvl="4">
      <w:start w:val="1"/>
      <w:numFmt w:val="decimal"/>
      <w:isLgl/>
      <w:lvlText w:val="%1.%2.%3.%4.%5"/>
      <w:lvlJc w:val="left"/>
      <w:pPr>
        <w:tabs>
          <w:tab w:val="num" w:pos="2575"/>
        </w:tabs>
        <w:ind w:left="2575" w:hanging="1080"/>
      </w:pPr>
      <w:rPr>
        <w:rFonts w:cs="Times New Roman" w:hint="default"/>
      </w:rPr>
    </w:lvl>
    <w:lvl w:ilvl="5">
      <w:start w:val="1"/>
      <w:numFmt w:val="decimal"/>
      <w:isLgl/>
      <w:lvlText w:val="%1.%2.%3.%4.%5.%6"/>
      <w:lvlJc w:val="left"/>
      <w:pPr>
        <w:tabs>
          <w:tab w:val="num" w:pos="2935"/>
        </w:tabs>
        <w:ind w:left="2935" w:hanging="1440"/>
      </w:pPr>
      <w:rPr>
        <w:rFonts w:cs="Times New Roman" w:hint="default"/>
      </w:rPr>
    </w:lvl>
    <w:lvl w:ilvl="6">
      <w:start w:val="1"/>
      <w:numFmt w:val="decimal"/>
      <w:isLgl/>
      <w:lvlText w:val="%1.%2.%3.%4.%5.%6.%7"/>
      <w:lvlJc w:val="left"/>
      <w:pPr>
        <w:tabs>
          <w:tab w:val="num" w:pos="2935"/>
        </w:tabs>
        <w:ind w:left="2935" w:hanging="1440"/>
      </w:pPr>
      <w:rPr>
        <w:rFonts w:cs="Times New Roman" w:hint="default"/>
      </w:rPr>
    </w:lvl>
    <w:lvl w:ilvl="7">
      <w:start w:val="1"/>
      <w:numFmt w:val="decimal"/>
      <w:isLgl/>
      <w:lvlText w:val="%1.%2.%3.%4.%5.%6.%7.%8"/>
      <w:lvlJc w:val="left"/>
      <w:pPr>
        <w:tabs>
          <w:tab w:val="num" w:pos="3295"/>
        </w:tabs>
        <w:ind w:left="3295" w:hanging="1800"/>
      </w:pPr>
      <w:rPr>
        <w:rFonts w:cs="Times New Roman" w:hint="default"/>
      </w:rPr>
    </w:lvl>
    <w:lvl w:ilvl="8">
      <w:start w:val="1"/>
      <w:numFmt w:val="decimal"/>
      <w:isLgl/>
      <w:lvlText w:val="%1.%2.%3.%4.%5.%6.%7.%8.%9"/>
      <w:lvlJc w:val="left"/>
      <w:pPr>
        <w:tabs>
          <w:tab w:val="num" w:pos="3295"/>
        </w:tabs>
        <w:ind w:left="3295" w:hanging="1800"/>
      </w:pPr>
      <w:rPr>
        <w:rFonts w:cs="Times New Roman" w:hint="default"/>
      </w:rPr>
    </w:lvl>
  </w:abstractNum>
  <w:abstractNum w:abstractNumId="5"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FD470AF"/>
    <w:multiLevelType w:val="hybridMultilevel"/>
    <w:tmpl w:val="ADAE5BEE"/>
    <w:lvl w:ilvl="0" w:tplc="23CEF090">
      <w:start w:val="1"/>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574C3493"/>
    <w:multiLevelType w:val="multilevel"/>
    <w:tmpl w:val="340ACC2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67CA5"/>
    <w:multiLevelType w:val="multilevel"/>
    <w:tmpl w:val="140A001F"/>
    <w:numStyleLink w:val="Estilo1"/>
  </w:abstractNum>
  <w:abstractNum w:abstractNumId="9" w15:restartNumberingAfterBreak="0">
    <w:nsid w:val="5EA351B4"/>
    <w:multiLevelType w:val="hybridMultilevel"/>
    <w:tmpl w:val="52B2ED0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0"/>
  </w:num>
  <w:num w:numId="6">
    <w:abstractNumId w:val="4"/>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1B"/>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BC9"/>
    <w:rsid w:val="00133EEB"/>
    <w:rsid w:val="00135EE8"/>
    <w:rsid w:val="001370D6"/>
    <w:rsid w:val="001370DB"/>
    <w:rsid w:val="001372BC"/>
    <w:rsid w:val="0013796E"/>
    <w:rsid w:val="00141B28"/>
    <w:rsid w:val="00143E80"/>
    <w:rsid w:val="00146F6F"/>
    <w:rsid w:val="00150F07"/>
    <w:rsid w:val="00153E19"/>
    <w:rsid w:val="00155121"/>
    <w:rsid w:val="00155D15"/>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30A"/>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0A48"/>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1461"/>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A7307"/>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461A0"/>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150"/>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326A"/>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0B0D"/>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85C73"/>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6784"/>
    <w:rsid w:val="00B40B55"/>
    <w:rsid w:val="00B415F0"/>
    <w:rsid w:val="00B4627C"/>
    <w:rsid w:val="00B47959"/>
    <w:rsid w:val="00B500C3"/>
    <w:rsid w:val="00B50C53"/>
    <w:rsid w:val="00B544F0"/>
    <w:rsid w:val="00B545A7"/>
    <w:rsid w:val="00B60382"/>
    <w:rsid w:val="00B6158F"/>
    <w:rsid w:val="00B63D1C"/>
    <w:rsid w:val="00B65D67"/>
    <w:rsid w:val="00B700C9"/>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10C0"/>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67AB2"/>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8A2"/>
    <w:rsid w:val="00FD7A4A"/>
    <w:rsid w:val="00FE0406"/>
    <w:rsid w:val="00FE0D65"/>
    <w:rsid w:val="00FE2A23"/>
    <w:rsid w:val="00FF0695"/>
    <w:rsid w:val="00FF30F2"/>
    <w:rsid w:val="00FF7C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B36784"/>
    <w:pPr>
      <w:numPr>
        <w:numId w:val="7"/>
      </w:numPr>
    </w:pPr>
  </w:style>
  <w:style w:type="table" w:customStyle="1" w:styleId="Tablaconcuadrcula6">
    <w:name w:val="Tabla con cuadrícula6"/>
    <w:basedOn w:val="Tablanormal"/>
    <w:next w:val="Tablaconcuadrcula"/>
    <w:uiPriority w:val="59"/>
    <w:rsid w:val="00ED10C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ED10C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A3F9-3BBC-4B07-9E71-AF3CD820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101</cp:revision>
  <cp:lastPrinted>2017-06-15T20:46:00Z</cp:lastPrinted>
  <dcterms:created xsi:type="dcterms:W3CDTF">2016-10-05T20:00:00Z</dcterms:created>
  <dcterms:modified xsi:type="dcterms:W3CDTF">2017-06-15T21:29:00Z</dcterms:modified>
</cp:coreProperties>
</file>