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CF2EAA">
        <w:rPr>
          <w:rFonts w:ascii="Arial" w:hAnsi="Arial" w:cs="Arial"/>
          <w:b/>
          <w:bCs/>
          <w:iCs/>
          <w:sz w:val="26"/>
          <w:szCs w:val="22"/>
          <w:lang w:val="es-CR"/>
        </w:rPr>
        <w:t>842</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Default="00190010" w:rsidP="00337455">
            <w:pPr>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6F1EDB" w:rsidRDefault="006F1EDB" w:rsidP="00337455">
            <w:pPr>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MBA. Nelson Ortega Jiménez, Presidente Directorio Asamblea Institucional Representativa</w:t>
            </w:r>
          </w:p>
          <w:p w:rsidR="006F1EDB" w:rsidRPr="00ED5B24" w:rsidRDefault="006F1EDB" w:rsidP="006F1EDB">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MET. Marvin Santos Varela, Presidente del Tribunal Institucional Electoral</w:t>
            </w:r>
          </w:p>
          <w:p w:rsidR="000F473C" w:rsidRPr="00ED5B24" w:rsidRDefault="000F473C" w:rsidP="000F473C">
            <w:pPr>
              <w:ind w:left="45"/>
              <w:jc w:val="both"/>
              <w:rPr>
                <w:rFonts w:ascii="Arial" w:eastAsia="Cambria" w:hAnsi="Arial" w:cs="Arial"/>
                <w:sz w:val="20"/>
                <w:szCs w:val="20"/>
                <w:lang w:val="es-ES_tradnl" w:eastAsia="en-US"/>
              </w:rPr>
            </w:pPr>
            <w:proofErr w:type="gramStart"/>
            <w:r w:rsidRPr="00ED5B24">
              <w:rPr>
                <w:rFonts w:ascii="Arial" w:eastAsia="Cambria" w:hAnsi="Arial" w:cs="Arial"/>
                <w:sz w:val="20"/>
                <w:szCs w:val="20"/>
                <w:lang w:val="es-ES_tradnl" w:eastAsia="en-US"/>
              </w:rPr>
              <w:t>Dr..</w:t>
            </w:r>
            <w:proofErr w:type="gramEnd"/>
            <w:r w:rsidRPr="00ED5B24">
              <w:rPr>
                <w:rFonts w:ascii="Arial" w:eastAsia="Cambria" w:hAnsi="Arial" w:cs="Arial"/>
                <w:sz w:val="20"/>
                <w:szCs w:val="20"/>
                <w:lang w:val="es-ES_tradnl" w:eastAsia="en-US"/>
              </w:rPr>
              <w:t xml:space="preserve"> Humberto Villalta, Vicerrector de Administración</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Ing. Luis Paulino Méndez, Vicerrector de Docencia</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Dra. Paola Vega, Vicerrectora de Investigación y Extensión </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Dra. Claudia Madrizova, Vicerrectora de Vida Estudiantil y Servicios Académicos </w:t>
            </w:r>
          </w:p>
          <w:p w:rsidR="000F473C" w:rsidRPr="00ED5B24" w:rsidRDefault="000F473C" w:rsidP="000F473C">
            <w:pPr>
              <w:ind w:left="45"/>
              <w:jc w:val="both"/>
              <w:rPr>
                <w:rFonts w:ascii="Arial" w:eastAsia="Cambria" w:hAnsi="Arial" w:cs="Arial"/>
                <w:sz w:val="20"/>
                <w:szCs w:val="20"/>
                <w:lang w:val="es-ES_tradnl" w:eastAsia="en-US"/>
              </w:rPr>
            </w:pPr>
            <w:proofErr w:type="spellStart"/>
            <w:r w:rsidRPr="00ED5B24">
              <w:rPr>
                <w:rFonts w:ascii="Arial" w:eastAsia="Cambria" w:hAnsi="Arial" w:cs="Arial"/>
                <w:sz w:val="20"/>
                <w:szCs w:val="20"/>
                <w:lang w:val="es-ES_tradnl" w:eastAsia="en-US"/>
              </w:rPr>
              <w:t>M.Sc</w:t>
            </w:r>
            <w:proofErr w:type="spellEnd"/>
            <w:r w:rsidRPr="00ED5B24">
              <w:rPr>
                <w:rFonts w:ascii="Arial" w:eastAsia="Cambria" w:hAnsi="Arial" w:cs="Arial"/>
                <w:sz w:val="20"/>
                <w:szCs w:val="20"/>
                <w:lang w:val="es-ES_tradnl" w:eastAsia="en-US"/>
              </w:rPr>
              <w:t>. Edgardo Vargas, Director Sede Regional San Carlos</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Máster Ronald Bonilla, Director </w:t>
            </w:r>
            <w:proofErr w:type="spellStart"/>
            <w:r w:rsidRPr="00ED5B24">
              <w:rPr>
                <w:rFonts w:ascii="Arial" w:eastAsia="Cambria" w:hAnsi="Arial" w:cs="Arial"/>
                <w:sz w:val="20"/>
                <w:szCs w:val="20"/>
                <w:lang w:val="es-ES_tradnl" w:eastAsia="en-US"/>
              </w:rPr>
              <w:t>a.i.</w:t>
            </w:r>
            <w:proofErr w:type="spellEnd"/>
            <w:r w:rsidRPr="00ED5B24">
              <w:rPr>
                <w:rFonts w:ascii="Arial" w:eastAsia="Cambria" w:hAnsi="Arial" w:cs="Arial"/>
                <w:sz w:val="20"/>
                <w:szCs w:val="20"/>
                <w:lang w:val="es-ES_tradnl" w:eastAsia="en-US"/>
              </w:rPr>
              <w:t xml:space="preserve"> Centro Académico de San José</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Roberto Pereira, Director Centro Académico de Alajuela</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Máster Roxana Jiménez, Directora Centro Académico de Limón</w:t>
            </w:r>
          </w:p>
          <w:p w:rsidR="00ED5B24" w:rsidRPr="00ED5B24" w:rsidRDefault="000F473C" w:rsidP="006F1EDB">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MAU. Tatiana Fernández, Directora Oficina de Planificación Institucional </w:t>
            </w:r>
          </w:p>
          <w:p w:rsidR="00E65876" w:rsidRPr="000F473C" w:rsidRDefault="00E65876" w:rsidP="006F1EDB">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Salazar,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20522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841F61">
              <w:rPr>
                <w:rFonts w:ascii="Arial" w:eastAsia="Cambria" w:hAnsi="Arial" w:cs="Arial"/>
                <w:b/>
                <w:sz w:val="22"/>
                <w:szCs w:val="22"/>
                <w:lang w:val="es-ES_tradnl" w:eastAsia="en-US"/>
              </w:rPr>
              <w:t>noviem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CE5E1A" w:rsidRDefault="007742A1" w:rsidP="006F1EDB">
            <w:pPr>
              <w:jc w:val="both"/>
              <w:rPr>
                <w:rFonts w:ascii="Arial" w:eastAsia="Calibri" w:hAnsi="Arial" w:cs="Arial"/>
                <w:b/>
                <w:sz w:val="22"/>
                <w:szCs w:val="22"/>
                <w:u w:val="single"/>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6F1EDB">
              <w:rPr>
                <w:rFonts w:ascii="Arial" w:eastAsia="Calibri" w:hAnsi="Arial" w:cs="Arial"/>
                <w:b/>
                <w:sz w:val="22"/>
                <w:szCs w:val="22"/>
              </w:rPr>
              <w:t>8</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6F1EDB">
              <w:rPr>
                <w:rFonts w:ascii="Arial" w:eastAsia="Calibri" w:hAnsi="Arial" w:cs="Arial"/>
                <w:b/>
                <w:sz w:val="22"/>
                <w:szCs w:val="22"/>
              </w:rPr>
              <w:t>7</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6F1EDB">
              <w:rPr>
                <w:rFonts w:ascii="Arial" w:eastAsia="Calibri" w:hAnsi="Arial" w:cs="Arial"/>
                <w:b/>
                <w:sz w:val="22"/>
                <w:szCs w:val="22"/>
              </w:rPr>
              <w:t>22</w:t>
            </w:r>
            <w:r w:rsidRPr="00267FAF">
              <w:rPr>
                <w:rFonts w:ascii="Arial" w:eastAsia="Calibri" w:hAnsi="Arial" w:cs="Arial"/>
                <w:b/>
                <w:sz w:val="22"/>
                <w:szCs w:val="22"/>
              </w:rPr>
              <w:t xml:space="preserve"> de </w:t>
            </w:r>
            <w:r w:rsidR="00841F61">
              <w:rPr>
                <w:rFonts w:ascii="Arial" w:eastAsia="Calibri" w:hAnsi="Arial" w:cs="Arial"/>
                <w:b/>
                <w:sz w:val="22"/>
                <w:szCs w:val="22"/>
              </w:rPr>
              <w:t>noviem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6F1EDB">
              <w:rPr>
                <w:rFonts w:ascii="Arial" w:eastAsia="Calibri" w:hAnsi="Arial" w:cs="Arial"/>
                <w:b/>
                <w:sz w:val="22"/>
                <w:szCs w:val="22"/>
              </w:rPr>
              <w:t xml:space="preserve">Reforma Artículo 51 del Estatuto Orgánico del ITCR:  Modificación del texto del tercer párrafo.  </w:t>
            </w:r>
            <w:r w:rsidR="006F1EDB" w:rsidRPr="006F1EDB">
              <w:rPr>
                <w:rFonts w:ascii="Arial" w:eastAsia="Calibri" w:hAnsi="Arial" w:cs="Arial"/>
                <w:b/>
                <w:sz w:val="22"/>
                <w:szCs w:val="22"/>
                <w:u w:val="single"/>
              </w:rPr>
              <w:t>Primera votación</w:t>
            </w:r>
          </w:p>
          <w:p w:rsidR="006F1EDB" w:rsidRPr="007F1052" w:rsidRDefault="006F1EDB" w:rsidP="006F1EDB">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F2EAA" w:rsidRDefault="00CF2EAA" w:rsidP="007742A1">
      <w:pPr>
        <w:jc w:val="both"/>
        <w:rPr>
          <w:rFonts w:ascii="Arial" w:eastAsia="Cambria" w:hAnsi="Arial" w:cs="Arial"/>
          <w:lang w:val="es-ES_tradnl" w:eastAsia="en-US"/>
        </w:rPr>
      </w:pPr>
    </w:p>
    <w:p w:rsidR="00CF2EAA" w:rsidRPr="00CF2EAA" w:rsidRDefault="00CF2EAA" w:rsidP="00CF2EAA">
      <w:pPr>
        <w:rPr>
          <w:rFonts w:ascii="Arial" w:hAnsi="Arial" w:cs="Arial"/>
          <w:b/>
        </w:rPr>
      </w:pPr>
      <w:r w:rsidRPr="00CF2EAA">
        <w:rPr>
          <w:rFonts w:ascii="Arial" w:hAnsi="Arial" w:cs="Arial"/>
          <w:b/>
        </w:rPr>
        <w:t>RESULTANDO QUE:</w:t>
      </w:r>
    </w:p>
    <w:p w:rsidR="00CF2EAA" w:rsidRPr="00CF2EAA" w:rsidRDefault="00CF2EAA" w:rsidP="00CF2EAA">
      <w:pPr>
        <w:rPr>
          <w:rFonts w:ascii="Arial" w:hAnsi="Arial" w:cs="Arial"/>
          <w:b/>
        </w:rPr>
      </w:pPr>
    </w:p>
    <w:p w:rsidR="00CF2EAA" w:rsidRPr="00CF2EAA" w:rsidRDefault="00CF2EAA" w:rsidP="00CF2EAA">
      <w:pPr>
        <w:numPr>
          <w:ilvl w:val="0"/>
          <w:numId w:val="37"/>
        </w:numPr>
        <w:tabs>
          <w:tab w:val="num" w:pos="465"/>
        </w:tabs>
        <w:ind w:left="465"/>
        <w:jc w:val="both"/>
        <w:rPr>
          <w:rFonts w:ascii="Arial" w:hAnsi="Arial" w:cs="Arial"/>
        </w:rPr>
      </w:pPr>
      <w:r w:rsidRPr="00CF2EAA">
        <w:rPr>
          <w:rFonts w:ascii="Arial" w:hAnsi="Arial" w:cs="Arial"/>
        </w:rPr>
        <w:t>El tercer párrafo del artículo 51, del Estatuto Orgánico indica lo siguiente:</w:t>
      </w:r>
    </w:p>
    <w:p w:rsidR="00CF2EAA" w:rsidRPr="00CF2EAA" w:rsidRDefault="00CF2EAA" w:rsidP="00CF2EAA">
      <w:pPr>
        <w:jc w:val="both"/>
        <w:rPr>
          <w:rFonts w:ascii="Arial" w:hAnsi="Arial" w:cs="Arial"/>
        </w:rPr>
      </w:pPr>
    </w:p>
    <w:p w:rsidR="00CF2EAA" w:rsidRPr="00CF2EAA" w:rsidRDefault="00CF2EAA" w:rsidP="00CF2EAA">
      <w:pPr>
        <w:ind w:left="709" w:right="424"/>
        <w:jc w:val="both"/>
        <w:rPr>
          <w:rFonts w:ascii="Arial" w:hAnsi="Arial" w:cs="Arial"/>
          <w:i/>
        </w:rPr>
      </w:pPr>
      <w:r w:rsidRPr="00CF2EAA">
        <w:rPr>
          <w:rFonts w:ascii="Arial" w:hAnsi="Arial" w:cs="Arial"/>
          <w:i/>
        </w:rPr>
        <w:t>“Los departamentos académicos son aquellos que tienen la responsabilidad de ofrecer enseñanza, investigación y extensión. Podrán desarrollar proyectos productivos según sus posibilidades”.</w:t>
      </w:r>
    </w:p>
    <w:p w:rsidR="00CF2EAA" w:rsidRPr="00CF2EAA" w:rsidRDefault="00CF2EAA" w:rsidP="00CF2EAA">
      <w:pPr>
        <w:ind w:left="709" w:right="424"/>
        <w:jc w:val="both"/>
        <w:rPr>
          <w:rFonts w:ascii="Arial" w:hAnsi="Arial" w:cs="Arial"/>
          <w:i/>
        </w:rPr>
      </w:pPr>
    </w:p>
    <w:p w:rsidR="00CF2EAA" w:rsidRPr="00CF2EAA" w:rsidRDefault="00CF2EAA" w:rsidP="00CF2EAA">
      <w:pPr>
        <w:numPr>
          <w:ilvl w:val="0"/>
          <w:numId w:val="37"/>
        </w:numPr>
        <w:tabs>
          <w:tab w:val="num" w:pos="465"/>
        </w:tabs>
        <w:ind w:left="465"/>
        <w:jc w:val="both"/>
        <w:rPr>
          <w:rFonts w:ascii="Arial" w:hAnsi="Arial" w:cs="Arial"/>
          <w:bCs/>
          <w:lang w:val="es-CR" w:eastAsia="en-US"/>
        </w:rPr>
      </w:pPr>
      <w:r w:rsidRPr="00CF2EAA">
        <w:rPr>
          <w:rFonts w:ascii="Arial" w:hAnsi="Arial" w:cs="Arial"/>
        </w:rPr>
        <w:t>Por acuerdo del Consejo Institucional de la Sesión Ordinaria No. 3037, Artículo 9, del</w:t>
      </w:r>
      <w:r w:rsidRPr="00CF2EAA">
        <w:rPr>
          <w:rFonts w:ascii="Arial" w:hAnsi="Arial" w:cs="Arial"/>
          <w:bCs/>
        </w:rPr>
        <w:t xml:space="preserve"> 06 de setiembre de 2017, en cumplimiento de lo dispuesto en el artículo 142 del Estatuto Orgánico, se sometió a consulta de la comunidad institucional por veinte días hábiles la propuesta de reforma del tercer párrafo del artículo 51 del Estatuto Orgánico, para que se lea de la siguiente manera:</w:t>
      </w:r>
    </w:p>
    <w:p w:rsidR="00CF2EAA" w:rsidRPr="00CF2EAA" w:rsidRDefault="00CF2EAA" w:rsidP="00CF2EAA">
      <w:pPr>
        <w:jc w:val="both"/>
        <w:rPr>
          <w:rFonts w:ascii="Arial" w:hAnsi="Arial" w:cs="Arial"/>
          <w:bCs/>
          <w:lang w:val="es-CR"/>
        </w:rPr>
      </w:pPr>
    </w:p>
    <w:p w:rsidR="00CF2EAA" w:rsidRPr="00CF2EAA" w:rsidRDefault="00CF2EAA" w:rsidP="00CF2EAA">
      <w:pPr>
        <w:ind w:left="851" w:right="424"/>
        <w:jc w:val="both"/>
        <w:rPr>
          <w:rFonts w:ascii="Arial" w:hAnsi="Arial" w:cs="Arial"/>
          <w:bCs/>
          <w:lang w:val="es-CR" w:eastAsia="en-US"/>
        </w:rPr>
      </w:pPr>
      <w:r w:rsidRPr="00CF2EAA">
        <w:rPr>
          <w:rFonts w:ascii="Arial" w:hAnsi="Arial" w:cs="Arial"/>
          <w:lang w:val="es-CR" w:eastAsia="es-CR"/>
        </w:rPr>
        <w:t>“</w:t>
      </w:r>
      <w:r w:rsidRPr="00CF2EAA">
        <w:rPr>
          <w:rFonts w:ascii="Arial" w:hAnsi="Arial" w:cs="Arial"/>
          <w:lang w:eastAsia="es-CR"/>
        </w:rPr>
        <w:t xml:space="preserve">Los departamentos académicos son aquellos que tienen la responsabilidad de ofrecer enseñanza, investigación y extensión. Podrán desarrollar tanto proyectos productivos como </w:t>
      </w:r>
      <w:r w:rsidRPr="00CF2EAA">
        <w:rPr>
          <w:rFonts w:ascii="Arial" w:hAnsi="Arial" w:cs="Arial"/>
          <w:b/>
          <w:lang w:eastAsia="es-CR"/>
        </w:rPr>
        <w:t>actividades productivas,</w:t>
      </w:r>
      <w:r w:rsidRPr="00CF2EAA">
        <w:rPr>
          <w:rFonts w:ascii="Arial" w:hAnsi="Arial" w:cs="Arial"/>
          <w:lang w:eastAsia="es-CR"/>
        </w:rPr>
        <w:t xml:space="preserve"> según sus posibilidades.”</w:t>
      </w:r>
    </w:p>
    <w:p w:rsidR="00CF2EAA" w:rsidRPr="00CF2EAA" w:rsidRDefault="00CF2EAA" w:rsidP="00CF2EAA">
      <w:pPr>
        <w:jc w:val="both"/>
        <w:rPr>
          <w:rFonts w:ascii="Arial" w:hAnsi="Arial" w:cs="Arial"/>
        </w:rPr>
      </w:pPr>
    </w:p>
    <w:p w:rsidR="00CF2EAA" w:rsidRPr="00CF2EAA" w:rsidRDefault="00CF2EAA" w:rsidP="00CF2EAA">
      <w:pPr>
        <w:numPr>
          <w:ilvl w:val="0"/>
          <w:numId w:val="37"/>
        </w:numPr>
        <w:tabs>
          <w:tab w:val="num" w:pos="465"/>
        </w:tabs>
        <w:ind w:left="465"/>
        <w:jc w:val="both"/>
        <w:rPr>
          <w:rFonts w:ascii="Arial" w:hAnsi="Arial" w:cs="Arial"/>
        </w:rPr>
      </w:pPr>
      <w:r w:rsidRPr="00CF2EAA">
        <w:rPr>
          <w:rFonts w:ascii="Arial" w:hAnsi="Arial" w:cs="Arial"/>
        </w:rPr>
        <w:t>Vencido el plazo de la consulta se recibieron observaciones del Departamento de Orientación y Psicología y del Consejo Asesor de la Sede Regional San Carlos.</w:t>
      </w:r>
    </w:p>
    <w:p w:rsidR="00CF2EAA" w:rsidRDefault="00CF2EAA" w:rsidP="00CF2EAA">
      <w:pPr>
        <w:jc w:val="both"/>
        <w:rPr>
          <w:rFonts w:ascii="Arial" w:hAnsi="Arial" w:cs="Arial"/>
        </w:rPr>
      </w:pPr>
    </w:p>
    <w:p w:rsidR="00CF2EAA" w:rsidRDefault="00CF2EAA" w:rsidP="00CF2EAA">
      <w:pPr>
        <w:jc w:val="both"/>
        <w:rPr>
          <w:rFonts w:ascii="Arial" w:hAnsi="Arial" w:cs="Arial"/>
        </w:rPr>
      </w:pPr>
    </w:p>
    <w:p w:rsidR="00CF2EAA" w:rsidRPr="00CF2EAA" w:rsidRDefault="00CF2EAA" w:rsidP="00CF2EAA">
      <w:pPr>
        <w:jc w:val="both"/>
        <w:rPr>
          <w:rFonts w:ascii="Arial" w:hAnsi="Arial" w:cs="Arial"/>
        </w:rPr>
      </w:pPr>
    </w:p>
    <w:p w:rsidR="00CF2EAA" w:rsidRPr="00CF2EAA" w:rsidRDefault="00CF2EAA" w:rsidP="00CF2EAA">
      <w:pPr>
        <w:spacing w:before="120"/>
        <w:jc w:val="both"/>
        <w:rPr>
          <w:rFonts w:ascii="Arial" w:hAnsi="Arial" w:cs="Arial"/>
          <w:b/>
        </w:rPr>
      </w:pPr>
      <w:r w:rsidRPr="00CF2EAA">
        <w:rPr>
          <w:rFonts w:ascii="Arial" w:hAnsi="Arial" w:cs="Arial"/>
          <w:b/>
        </w:rPr>
        <w:lastRenderedPageBreak/>
        <w:t>CONSIDERANDO QUE:</w:t>
      </w:r>
    </w:p>
    <w:p w:rsidR="00CF2EAA" w:rsidRPr="00CF2EAA" w:rsidRDefault="00CF2EAA" w:rsidP="00CF2EAA">
      <w:pPr>
        <w:spacing w:before="120"/>
        <w:jc w:val="both"/>
        <w:rPr>
          <w:rFonts w:ascii="Arial" w:hAnsi="Arial" w:cs="Arial"/>
        </w:rPr>
      </w:pPr>
    </w:p>
    <w:p w:rsidR="00CF2EAA" w:rsidRPr="00CF2EAA" w:rsidRDefault="00CF2EAA" w:rsidP="00CF2EAA">
      <w:pPr>
        <w:numPr>
          <w:ilvl w:val="0"/>
          <w:numId w:val="39"/>
        </w:numPr>
        <w:ind w:left="284"/>
        <w:jc w:val="both"/>
        <w:rPr>
          <w:rFonts w:ascii="Arial" w:hAnsi="Arial" w:cs="Arial"/>
          <w:color w:val="0000FF"/>
        </w:rPr>
      </w:pPr>
      <w:r w:rsidRPr="00CF2EAA">
        <w:rPr>
          <w:rFonts w:ascii="Arial" w:hAnsi="Arial" w:cs="Arial"/>
        </w:rPr>
        <w:t>El concepto de proyecto hace relación a un conjunto de actividades ordenadas enfocadas en conseguir uno o más objetivo concretos por medio de planes específicos.</w:t>
      </w:r>
    </w:p>
    <w:p w:rsidR="00CF2EAA" w:rsidRPr="00CF2EAA" w:rsidRDefault="00CF2EAA" w:rsidP="00CF2EAA">
      <w:pPr>
        <w:ind w:left="-76"/>
        <w:jc w:val="both"/>
        <w:rPr>
          <w:rFonts w:ascii="Arial" w:hAnsi="Arial" w:cs="Arial"/>
          <w:color w:val="0000FF"/>
        </w:rPr>
      </w:pPr>
    </w:p>
    <w:p w:rsidR="00CF2EAA" w:rsidRPr="00CF2EAA" w:rsidRDefault="00CF2EAA" w:rsidP="00CF2EAA">
      <w:pPr>
        <w:numPr>
          <w:ilvl w:val="0"/>
          <w:numId w:val="39"/>
        </w:numPr>
        <w:ind w:left="284"/>
        <w:jc w:val="both"/>
        <w:rPr>
          <w:rFonts w:ascii="Arial" w:hAnsi="Arial" w:cs="Arial"/>
          <w:color w:val="0000FF"/>
        </w:rPr>
      </w:pPr>
      <w:r w:rsidRPr="00CF2EAA">
        <w:rPr>
          <w:rFonts w:ascii="Arial" w:hAnsi="Arial" w:cs="Arial"/>
        </w:rPr>
        <w:t>La experiencia generada por más de 21 años en las Unidades Productivas del Programa de Producción Agropecuaria (PPA), ha revelado que algunas iniciativas planteadas originalmente como proyectos se convierten en actividades permanentes de carácter puntual.</w:t>
      </w:r>
    </w:p>
    <w:p w:rsidR="00CF2EAA" w:rsidRPr="00CF2EAA" w:rsidRDefault="00CF2EAA" w:rsidP="00CF2EAA">
      <w:pPr>
        <w:ind w:left="720"/>
        <w:contextualSpacing/>
        <w:rPr>
          <w:rFonts w:ascii="Arial" w:hAnsi="Arial" w:cs="Arial"/>
          <w:color w:val="0000FF"/>
        </w:rPr>
      </w:pPr>
    </w:p>
    <w:p w:rsidR="00CF2EAA" w:rsidRPr="00CF2EAA" w:rsidRDefault="00CF2EAA" w:rsidP="00CF2EAA">
      <w:pPr>
        <w:numPr>
          <w:ilvl w:val="0"/>
          <w:numId w:val="39"/>
        </w:numPr>
        <w:ind w:left="284"/>
        <w:jc w:val="both"/>
        <w:rPr>
          <w:rFonts w:ascii="Arial" w:hAnsi="Arial" w:cs="Arial"/>
        </w:rPr>
      </w:pPr>
      <w:r w:rsidRPr="00CF2EAA">
        <w:rPr>
          <w:rFonts w:ascii="Arial" w:hAnsi="Arial" w:cs="Arial"/>
        </w:rPr>
        <w:t>En consideración del principio de legalidad es necesario modificar el artículo 51 del Estatuto Orgánico del ITCR, de manera que las Escuelas estén autorizadas no sólo a desarrollar proyectos productivos, sino también actividades productivas puntuales y otras afines a su campo de acción.</w:t>
      </w:r>
    </w:p>
    <w:p w:rsidR="00CF2EAA" w:rsidRPr="00CF2EAA" w:rsidRDefault="00CF2EAA" w:rsidP="00CF2EAA">
      <w:pPr>
        <w:ind w:left="720"/>
        <w:contextualSpacing/>
        <w:rPr>
          <w:rFonts w:ascii="Arial" w:hAnsi="Arial" w:cs="Arial"/>
          <w:color w:val="0000FF"/>
        </w:rPr>
      </w:pPr>
    </w:p>
    <w:p w:rsidR="00CF2EAA" w:rsidRPr="00CF2EAA" w:rsidRDefault="00CF2EAA" w:rsidP="00CF2EAA">
      <w:pPr>
        <w:numPr>
          <w:ilvl w:val="0"/>
          <w:numId w:val="39"/>
        </w:numPr>
        <w:ind w:left="284"/>
        <w:jc w:val="both"/>
        <w:rPr>
          <w:rFonts w:ascii="Arial" w:hAnsi="Arial" w:cs="Arial"/>
        </w:rPr>
      </w:pPr>
      <w:r w:rsidRPr="00CF2EAA">
        <w:rPr>
          <w:rFonts w:ascii="Arial" w:hAnsi="Arial" w:cs="Arial"/>
        </w:rPr>
        <w:t>La Comisión Permanente de Estatuto Orgánico analizó, en la reunión No. 273-2017, del 26 de octubre de 2017, las observaciones recibidas e incorporó las que estimó pertinentes, acordando proponer al pleno el siguiente texto de reforma del tercer párrafo del artículo 51 del Estatuto Orgánico:</w:t>
      </w:r>
    </w:p>
    <w:p w:rsidR="00CF2EAA" w:rsidRPr="00CF2EAA" w:rsidRDefault="00CF2EAA" w:rsidP="00CF2EAA">
      <w:pPr>
        <w:ind w:left="426"/>
        <w:rPr>
          <w:rFonts w:ascii="Arial" w:hAnsi="Arial" w:cs="Arial"/>
          <w:i/>
          <w:sz w:val="20"/>
          <w:szCs w:val="20"/>
        </w:rPr>
      </w:pPr>
    </w:p>
    <w:p w:rsidR="00CF2EAA" w:rsidRPr="00CF2EAA" w:rsidRDefault="00CF2EAA" w:rsidP="00CF2EAA">
      <w:pPr>
        <w:ind w:left="709" w:right="566"/>
        <w:contextualSpacing/>
        <w:jc w:val="both"/>
        <w:rPr>
          <w:rFonts w:ascii="Arial" w:hAnsi="Arial" w:cs="Arial"/>
          <w:i/>
          <w:lang w:eastAsia="es-CR"/>
        </w:rPr>
      </w:pPr>
      <w:r w:rsidRPr="00CF2EAA">
        <w:rPr>
          <w:rFonts w:ascii="Arial" w:hAnsi="Arial" w:cs="Arial"/>
          <w:iCs/>
          <w:lang w:eastAsia="es-CR"/>
        </w:rPr>
        <w:t>“Los departamentos académicos son aquellos que tienen la responsabilidad de ofrecer enseñanza, investigación y extensión. Podrán desarrollar tanto proyectos productivos como actividades productivas y otras afines a su campo de acción, según sus posibilidades”.</w:t>
      </w:r>
    </w:p>
    <w:p w:rsidR="00CF2EAA" w:rsidRPr="00CF2EAA" w:rsidRDefault="00CF2EAA" w:rsidP="00CF2EAA">
      <w:pPr>
        <w:ind w:left="993" w:right="1133"/>
        <w:contextualSpacing/>
        <w:jc w:val="both"/>
        <w:rPr>
          <w:rFonts w:ascii="Arial" w:hAnsi="Arial" w:cs="Arial"/>
          <w:i/>
          <w:lang w:eastAsia="es-CR"/>
        </w:rPr>
      </w:pPr>
    </w:p>
    <w:p w:rsidR="00CF2EAA" w:rsidRPr="00CF2EAA" w:rsidRDefault="00CF2EAA" w:rsidP="00CF2EAA">
      <w:pPr>
        <w:spacing w:after="240"/>
        <w:rPr>
          <w:rFonts w:ascii="Arial" w:hAnsi="Arial" w:cs="Arial"/>
          <w:b/>
        </w:rPr>
      </w:pPr>
      <w:r w:rsidRPr="00CF2EAA">
        <w:rPr>
          <w:rFonts w:ascii="Arial" w:hAnsi="Arial" w:cs="Arial"/>
          <w:b/>
        </w:rPr>
        <w:t>SE</w:t>
      </w:r>
      <w:r>
        <w:rPr>
          <w:rFonts w:ascii="Arial" w:hAnsi="Arial" w:cs="Arial"/>
          <w:b/>
        </w:rPr>
        <w:t xml:space="preserve"> ACUERDA</w:t>
      </w:r>
      <w:r w:rsidRPr="00CF2EAA">
        <w:rPr>
          <w:rFonts w:ascii="Arial" w:hAnsi="Arial" w:cs="Arial"/>
          <w:b/>
        </w:rPr>
        <w:t>:</w:t>
      </w:r>
    </w:p>
    <w:p w:rsidR="00CF2EAA" w:rsidRPr="00CF2EAA" w:rsidRDefault="00CF2EAA" w:rsidP="00CF2EAA">
      <w:pPr>
        <w:numPr>
          <w:ilvl w:val="0"/>
          <w:numId w:val="38"/>
        </w:numPr>
        <w:ind w:left="567" w:hanging="578"/>
        <w:contextualSpacing/>
        <w:jc w:val="both"/>
        <w:rPr>
          <w:rFonts w:ascii="Arial" w:hAnsi="Arial" w:cs="Arial"/>
        </w:rPr>
      </w:pPr>
      <w:r w:rsidRPr="00CF2EAA">
        <w:rPr>
          <w:rFonts w:ascii="Arial" w:hAnsi="Arial" w:cs="Arial"/>
        </w:rPr>
        <w:t>Reformar el párrafo tercero del artículo 51 del Estatuto Orgánico del ITCR, para que se lea de la siguiente manera:</w:t>
      </w:r>
    </w:p>
    <w:p w:rsidR="00CF2EAA" w:rsidRPr="00CF2EAA" w:rsidRDefault="00CF2EAA" w:rsidP="00CF2EAA">
      <w:pPr>
        <w:jc w:val="both"/>
        <w:rPr>
          <w:rFonts w:ascii="Arial" w:hAnsi="Arial" w:cs="Arial"/>
        </w:rPr>
      </w:pPr>
    </w:p>
    <w:p w:rsidR="00CF2EAA" w:rsidRPr="00CF2EAA" w:rsidRDefault="00CF2EAA" w:rsidP="00CF2EAA">
      <w:pPr>
        <w:ind w:left="709" w:right="566"/>
        <w:contextualSpacing/>
        <w:jc w:val="both"/>
        <w:rPr>
          <w:rFonts w:ascii="Arial" w:hAnsi="Arial" w:cs="Arial"/>
          <w:i/>
          <w:lang w:eastAsia="es-CR"/>
        </w:rPr>
      </w:pPr>
      <w:r w:rsidRPr="00CF2EAA">
        <w:rPr>
          <w:rFonts w:ascii="Arial" w:hAnsi="Arial" w:cs="Arial"/>
          <w:iCs/>
          <w:lang w:eastAsia="es-CR"/>
        </w:rPr>
        <w:t xml:space="preserve">“Los departamentos académicos son aquellos que tienen la responsabilidad de ofrecer enseñanza, investigación y extensión. </w:t>
      </w:r>
      <w:r w:rsidRPr="00CF2EAA">
        <w:rPr>
          <w:rFonts w:ascii="Arial" w:hAnsi="Arial" w:cs="Arial"/>
          <w:b/>
          <w:iCs/>
          <w:lang w:eastAsia="es-CR"/>
        </w:rPr>
        <w:t>Podrán desarrollar</w:t>
      </w:r>
      <w:r w:rsidRPr="00CF2EAA">
        <w:rPr>
          <w:rFonts w:ascii="Arial" w:hAnsi="Arial" w:cs="Arial"/>
          <w:iCs/>
          <w:lang w:eastAsia="es-CR"/>
        </w:rPr>
        <w:t xml:space="preserve"> </w:t>
      </w:r>
      <w:r w:rsidRPr="00CF2EAA">
        <w:rPr>
          <w:rFonts w:ascii="Arial" w:hAnsi="Arial" w:cs="Arial"/>
          <w:b/>
          <w:iCs/>
          <w:lang w:eastAsia="es-CR"/>
        </w:rPr>
        <w:t>tanto proyectos productivos como actividades productivas</w:t>
      </w:r>
      <w:r w:rsidRPr="00CF2EAA">
        <w:rPr>
          <w:rFonts w:ascii="Arial" w:hAnsi="Arial" w:cs="Arial"/>
          <w:iCs/>
          <w:lang w:eastAsia="es-CR"/>
        </w:rPr>
        <w:t xml:space="preserve"> </w:t>
      </w:r>
      <w:r w:rsidRPr="00CF2EAA">
        <w:rPr>
          <w:rFonts w:ascii="Arial" w:hAnsi="Arial" w:cs="Arial"/>
          <w:b/>
          <w:iCs/>
          <w:lang w:eastAsia="es-CR"/>
        </w:rPr>
        <w:t>y otras afines a su campo de acción</w:t>
      </w:r>
      <w:r w:rsidRPr="00CF2EAA">
        <w:rPr>
          <w:rFonts w:ascii="Arial" w:hAnsi="Arial" w:cs="Arial"/>
          <w:iCs/>
          <w:lang w:eastAsia="es-CR"/>
        </w:rPr>
        <w:t>, según sus posibilidades”.</w:t>
      </w:r>
    </w:p>
    <w:p w:rsidR="00887FCC" w:rsidRDefault="00887FCC" w:rsidP="00CF2EAA">
      <w:pPr>
        <w:jc w:val="both"/>
        <w:rPr>
          <w:rFonts w:ascii="Arial" w:hAnsi="Arial" w:cs="Arial"/>
          <w:b/>
          <w:lang w:val="es-CR"/>
        </w:rPr>
      </w:pPr>
    </w:p>
    <w:p w:rsidR="004F7EB0" w:rsidRDefault="004F7EB0" w:rsidP="00672D32">
      <w:pPr>
        <w:jc w:val="both"/>
        <w:rPr>
          <w:rFonts w:ascii="Arial" w:hAnsi="Arial" w:cs="Arial"/>
          <w:b/>
          <w:sz w:val="22"/>
          <w:szCs w:val="22"/>
          <w:lang w:val="es-CR"/>
        </w:rPr>
      </w:pPr>
    </w:p>
    <w:p w:rsidR="002C0E57" w:rsidRPr="002C0E57" w:rsidRDefault="002C0E57" w:rsidP="002C0E57">
      <w:pPr>
        <w:ind w:left="284" w:hanging="284"/>
        <w:rPr>
          <w:rFonts w:ascii="Arial" w:hAnsi="Arial" w:cs="Arial"/>
          <w:b/>
          <w:sz w:val="22"/>
          <w:szCs w:val="22"/>
        </w:rPr>
      </w:pPr>
      <w:r w:rsidRPr="002C0E57">
        <w:rPr>
          <w:rFonts w:ascii="Arial" w:hAnsi="Arial" w:cs="Arial"/>
          <w:b/>
          <w:sz w:val="22"/>
          <w:szCs w:val="22"/>
        </w:rPr>
        <w:t>PALABRAS CLAVE:  Reforma – Estatuto Orgánico – Artículo 51</w:t>
      </w:r>
    </w:p>
    <w:p w:rsidR="002C0E57" w:rsidRPr="002C0E57" w:rsidRDefault="002C0E57" w:rsidP="00672D32">
      <w:pPr>
        <w:jc w:val="both"/>
        <w:rPr>
          <w:rFonts w:ascii="Arial" w:hAnsi="Arial" w:cs="Arial"/>
          <w:b/>
          <w:sz w:val="22"/>
          <w:szCs w:val="22"/>
        </w:rPr>
      </w:pPr>
      <w:bookmarkStart w:id="0" w:name="_GoBack"/>
      <w:bookmarkEnd w:id="0"/>
    </w:p>
    <w:p w:rsidR="004F7EB0" w:rsidRPr="00887FCC" w:rsidRDefault="004F7EB0" w:rsidP="00672D32">
      <w:pPr>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3538E7">
        <w:trPr>
          <w:trHeight w:val="183"/>
        </w:trPr>
        <w:tc>
          <w:tcPr>
            <w:tcW w:w="4361" w:type="dxa"/>
          </w:tcPr>
          <w:p w:rsidR="00F41044" w:rsidRDefault="00F41044" w:rsidP="003538E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F41044" w:rsidRDefault="00154839" w:rsidP="00CF2EA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CF2EAA" w:rsidRDefault="00CF2EAA" w:rsidP="00CF2EA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Depto. Orientación y Psicología</w:t>
            </w:r>
          </w:p>
          <w:p w:rsidR="00CF2EAA" w:rsidRDefault="00CF2EAA" w:rsidP="00CF2EA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Consejo Asesor Sede Regional San Carlos</w:t>
            </w:r>
          </w:p>
        </w:tc>
        <w:tc>
          <w:tcPr>
            <w:tcW w:w="4361" w:type="dxa"/>
          </w:tcPr>
          <w:p w:rsidR="00F41044" w:rsidRDefault="00F41044" w:rsidP="003538E7">
            <w:pPr>
              <w:jc w:val="both"/>
              <w:rPr>
                <w:rFonts w:ascii="Arial" w:eastAsia="Cambria" w:hAnsi="Arial" w:cs="Arial"/>
                <w:b/>
                <w:sz w:val="16"/>
                <w:szCs w:val="16"/>
                <w:lang w:val="es-ES_tradnl" w:eastAsia="en-US"/>
              </w:rPr>
            </w:pPr>
          </w:p>
          <w:p w:rsidR="00F41044" w:rsidRDefault="00F41044" w:rsidP="003538E7">
            <w:pPr>
              <w:rPr>
                <w:rFonts w:ascii="Arial" w:eastAsia="Cambria" w:hAnsi="Arial" w:cs="Arial"/>
                <w:b/>
                <w:sz w:val="16"/>
                <w:szCs w:val="16"/>
                <w:lang w:val="es-CR"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tc>
        <w:tc>
          <w:tcPr>
            <w:tcW w:w="5103" w:type="dxa"/>
          </w:tcPr>
          <w:p w:rsidR="00F41044" w:rsidRDefault="00F41044" w:rsidP="003538E7">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3E" w:rsidRDefault="00B0373E">
      <w:r>
        <w:separator/>
      </w:r>
    </w:p>
  </w:endnote>
  <w:endnote w:type="continuationSeparator" w:id="0">
    <w:p w:rsidR="00B0373E" w:rsidRDefault="00B0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3E" w:rsidRDefault="00B0373E">
      <w:r>
        <w:separator/>
      </w:r>
    </w:p>
  </w:footnote>
  <w:footnote w:type="continuationSeparator" w:id="0">
    <w:p w:rsidR="00B0373E" w:rsidRDefault="00B03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CF2EAA">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CF2EAA">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F2EAA">
      <w:rPr>
        <w:rFonts w:ascii="Arial" w:eastAsia="Cambria" w:hAnsi="Arial" w:cs="Arial"/>
        <w:i/>
        <w:sz w:val="18"/>
        <w:szCs w:val="18"/>
        <w:lang w:val="es-ES_tradnl" w:eastAsia="x-none"/>
      </w:rPr>
      <w:t>22</w:t>
    </w:r>
    <w:r>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C0E57">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38C"/>
    <w:multiLevelType w:val="hybridMultilevel"/>
    <w:tmpl w:val="125CDB0C"/>
    <w:lvl w:ilvl="0" w:tplc="D93A48C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0DF125D"/>
    <w:multiLevelType w:val="hybridMultilevel"/>
    <w:tmpl w:val="7BE6A2EA"/>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F97D00"/>
    <w:multiLevelType w:val="hybridMultilevel"/>
    <w:tmpl w:val="5C00EC6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4445BA9"/>
    <w:multiLevelType w:val="hybridMultilevel"/>
    <w:tmpl w:val="6E5409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BA4D48"/>
    <w:multiLevelType w:val="hybridMultilevel"/>
    <w:tmpl w:val="AA668D5E"/>
    <w:lvl w:ilvl="0" w:tplc="26B2FCE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97D7D5A"/>
    <w:multiLevelType w:val="hybridMultilevel"/>
    <w:tmpl w:val="EF32EDC4"/>
    <w:lvl w:ilvl="0" w:tplc="5164EF4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34F0FD9"/>
    <w:multiLevelType w:val="hybridMultilevel"/>
    <w:tmpl w:val="51E89BE4"/>
    <w:lvl w:ilvl="0" w:tplc="5E544B12">
      <w:start w:val="2"/>
      <w:numFmt w:val="decimal"/>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4F96B3F"/>
    <w:multiLevelType w:val="hybridMultilevel"/>
    <w:tmpl w:val="EF0C601A"/>
    <w:lvl w:ilvl="0" w:tplc="A996931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B6F5459"/>
    <w:multiLevelType w:val="hybridMultilevel"/>
    <w:tmpl w:val="459AB99A"/>
    <w:lvl w:ilvl="0" w:tplc="9A5058E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3F2D6BA4"/>
    <w:multiLevelType w:val="hybridMultilevel"/>
    <w:tmpl w:val="B6021C08"/>
    <w:lvl w:ilvl="0" w:tplc="E0EE9D4A">
      <w:start w:val="1"/>
      <w:numFmt w:val="lowerLetter"/>
      <w:lvlText w:val="%1."/>
      <w:lvlJc w:val="left"/>
      <w:pPr>
        <w:ind w:left="720" w:hanging="360"/>
      </w:pPr>
      <w:rPr>
        <w:rFonts w:hint="default"/>
        <w:b/>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3CD5EC1"/>
    <w:multiLevelType w:val="hybridMultilevel"/>
    <w:tmpl w:val="048496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9580388"/>
    <w:multiLevelType w:val="hybridMultilevel"/>
    <w:tmpl w:val="191EEE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EAC6657"/>
    <w:multiLevelType w:val="hybridMultilevel"/>
    <w:tmpl w:val="CC9C28C6"/>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7"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9" w15:restartNumberingAfterBreak="0">
    <w:nsid w:val="58E34A1D"/>
    <w:multiLevelType w:val="hybridMultilevel"/>
    <w:tmpl w:val="CDB04DDC"/>
    <w:lvl w:ilvl="0" w:tplc="04A6C46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2"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3" w15:restartNumberingAfterBreak="0">
    <w:nsid w:val="6BD523E5"/>
    <w:multiLevelType w:val="hybridMultilevel"/>
    <w:tmpl w:val="B5A039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D561769"/>
    <w:multiLevelType w:val="hybridMultilevel"/>
    <w:tmpl w:val="5C8E4650"/>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15:restartNumberingAfterBreak="0">
    <w:nsid w:val="7E7401A5"/>
    <w:multiLevelType w:val="hybridMultilevel"/>
    <w:tmpl w:val="BAEA5DBE"/>
    <w:lvl w:ilvl="0" w:tplc="CBDADDC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5"/>
  </w:num>
  <w:num w:numId="2">
    <w:abstractNumId w:val="16"/>
  </w:num>
  <w:num w:numId="3">
    <w:abstractNumId w:val="25"/>
  </w:num>
  <w:num w:numId="4">
    <w:abstractNumId w:val="2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7"/>
  </w:num>
  <w:num w:numId="9">
    <w:abstractNumId w:val="23"/>
  </w:num>
  <w:num w:numId="10">
    <w:abstractNumId w:val="32"/>
  </w:num>
  <w:num w:numId="11">
    <w:abstractNumId w:val="6"/>
  </w:num>
  <w:num w:numId="12">
    <w:abstractNumId w:val="13"/>
  </w:num>
  <w:num w:numId="13">
    <w:abstractNumId w:val="1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5"/>
  </w:num>
  <w:num w:numId="17">
    <w:abstractNumId w:val="31"/>
  </w:num>
  <w:num w:numId="18">
    <w:abstractNumId w:val="3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6"/>
  </w:num>
  <w:num w:numId="22">
    <w:abstractNumId w:val="1"/>
  </w:num>
  <w:num w:numId="23">
    <w:abstractNumId w:val="9"/>
  </w:num>
  <w:num w:numId="24">
    <w:abstractNumId w:val="18"/>
  </w:num>
  <w:num w:numId="25">
    <w:abstractNumId w:val="0"/>
  </w:num>
  <w:num w:numId="26">
    <w:abstractNumId w:val="11"/>
  </w:num>
  <w:num w:numId="27">
    <w:abstractNumId w:val="33"/>
  </w:num>
  <w:num w:numId="28">
    <w:abstractNumId w:val="24"/>
  </w:num>
  <w:num w:numId="29">
    <w:abstractNumId w:val="29"/>
  </w:num>
  <w:num w:numId="30">
    <w:abstractNumId w:val="2"/>
  </w:num>
  <w:num w:numId="31">
    <w:abstractNumId w:val="37"/>
  </w:num>
  <w:num w:numId="32">
    <w:abstractNumId w:val="26"/>
  </w:num>
  <w:num w:numId="33">
    <w:abstractNumId w:val="15"/>
  </w:num>
  <w:num w:numId="34">
    <w:abstractNumId w:val="21"/>
  </w:num>
  <w:num w:numId="35">
    <w:abstractNumId w:val="3"/>
  </w:num>
  <w:num w:numId="36">
    <w:abstractNumId w:val="14"/>
  </w:num>
  <w:num w:numId="37">
    <w:abstractNumId w:val="12"/>
  </w:num>
  <w:num w:numId="38">
    <w:abstractNumId w:val="19"/>
  </w:num>
  <w:num w:numId="3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73C"/>
    <w:rsid w:val="000F490D"/>
    <w:rsid w:val="000F4B43"/>
    <w:rsid w:val="000F5572"/>
    <w:rsid w:val="000F7A0A"/>
    <w:rsid w:val="00104E6C"/>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0522B"/>
    <w:rsid w:val="00210743"/>
    <w:rsid w:val="002118B2"/>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0E57"/>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3CCF"/>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16AC"/>
    <w:rsid w:val="006D2575"/>
    <w:rsid w:val="006D5CAB"/>
    <w:rsid w:val="006E0F76"/>
    <w:rsid w:val="006E1429"/>
    <w:rsid w:val="006E2881"/>
    <w:rsid w:val="006E4522"/>
    <w:rsid w:val="006E4F8A"/>
    <w:rsid w:val="006E6682"/>
    <w:rsid w:val="006E673C"/>
    <w:rsid w:val="006F1EDB"/>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A79"/>
    <w:rsid w:val="00AC6805"/>
    <w:rsid w:val="00AD394D"/>
    <w:rsid w:val="00AD466B"/>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73E"/>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2EAA"/>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B177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436B-4F8E-4CE2-B827-BB1818F8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Pages>
  <Words>669</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183</cp:revision>
  <cp:lastPrinted>2017-11-16T14:06:00Z</cp:lastPrinted>
  <dcterms:created xsi:type="dcterms:W3CDTF">2016-10-05T20:00:00Z</dcterms:created>
  <dcterms:modified xsi:type="dcterms:W3CDTF">2017-11-22T17:03:00Z</dcterms:modified>
</cp:coreProperties>
</file>