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3276E">
        <w:rPr>
          <w:rFonts w:ascii="Arial" w:hAnsi="Arial" w:cs="Arial"/>
          <w:b/>
          <w:bCs/>
          <w:iCs/>
          <w:sz w:val="26"/>
          <w:szCs w:val="22"/>
          <w:lang w:val="es-CR"/>
        </w:rPr>
        <w:t>913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ED5B2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525012" w:rsidRPr="0053276E" w:rsidRDefault="0053276E" w:rsidP="000F473C">
            <w:pPr>
              <w:ind w:left="45"/>
              <w:jc w:val="both"/>
              <w:rPr>
                <w:rFonts w:ascii="Arial" w:eastAsia="Cambria" w:hAnsi="Arial" w:cs="Arial"/>
                <w:sz w:val="20"/>
                <w:szCs w:val="20"/>
                <w:lang w:val="es-ES_tradnl" w:eastAsia="en-US"/>
              </w:rPr>
            </w:pPr>
            <w:r w:rsidRPr="0053276E">
              <w:rPr>
                <w:rFonts w:ascii="Arial" w:eastAsia="Cambria" w:hAnsi="Arial" w:cs="Arial"/>
                <w:bCs/>
                <w:sz w:val="22"/>
                <w:szCs w:val="22"/>
                <w:lang w:val="es-CR" w:eastAsia="en-US"/>
              </w:rPr>
              <w:t>Ing. Andrea Cavero Quesada</w:t>
            </w:r>
            <w:r>
              <w:rPr>
                <w:rFonts w:ascii="Arial" w:eastAsia="Cambria" w:hAnsi="Arial" w:cs="Arial"/>
                <w:bCs/>
                <w:sz w:val="22"/>
                <w:szCs w:val="22"/>
                <w:lang w:val="es-CR" w:eastAsia="en-US"/>
              </w:rPr>
              <w:t>, Presidenta Junta Relaciones Laborales</w:t>
            </w:r>
          </w:p>
          <w:p w:rsidR="00793F58" w:rsidRPr="000F473C" w:rsidRDefault="00793F58" w:rsidP="00224C36">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5C5A0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dic</w:t>
            </w:r>
            <w:r w:rsidR="00841F61">
              <w:rPr>
                <w:rFonts w:ascii="Arial" w:eastAsia="Cambria" w:hAnsi="Arial" w:cs="Arial"/>
                <w:b/>
                <w:sz w:val="22"/>
                <w:szCs w:val="22"/>
                <w:lang w:val="es-ES_tradnl" w:eastAsia="en-US"/>
              </w:rPr>
              <w:t>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F5C99" w:rsidRDefault="007742A1" w:rsidP="005C5A0A">
            <w:pPr>
              <w:pStyle w:val="Prrafodelista"/>
              <w:ind w:left="-31"/>
              <w:jc w:val="both"/>
              <w:rPr>
                <w:rFonts w:ascii="Arial" w:eastAsia="Calibri" w:hAnsi="Arial" w:cs="Arial"/>
                <w:b/>
                <w:sz w:val="22"/>
                <w:szCs w:val="22"/>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5C5A0A">
              <w:rPr>
                <w:rFonts w:ascii="Arial" w:eastAsia="Calibri" w:hAnsi="Arial" w:cs="Arial"/>
                <w:b/>
                <w:sz w:val="22"/>
                <w:szCs w:val="22"/>
              </w:rPr>
              <w:t>50</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53276E">
              <w:rPr>
                <w:rFonts w:ascii="Arial" w:eastAsia="Calibri" w:hAnsi="Arial" w:cs="Arial"/>
                <w:b/>
                <w:sz w:val="22"/>
                <w:szCs w:val="22"/>
              </w:rPr>
              <w:t>2</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5C5A0A">
              <w:rPr>
                <w:rFonts w:ascii="Arial" w:eastAsia="Calibri" w:hAnsi="Arial" w:cs="Arial"/>
                <w:b/>
                <w:sz w:val="22"/>
                <w:szCs w:val="22"/>
              </w:rPr>
              <w:t>06</w:t>
            </w:r>
            <w:r w:rsidRPr="00267FAF">
              <w:rPr>
                <w:rFonts w:ascii="Arial" w:eastAsia="Calibri" w:hAnsi="Arial" w:cs="Arial"/>
                <w:b/>
                <w:sz w:val="22"/>
                <w:szCs w:val="22"/>
              </w:rPr>
              <w:t xml:space="preserve"> de </w:t>
            </w:r>
            <w:r w:rsidR="005C5A0A">
              <w:rPr>
                <w:rFonts w:ascii="Arial" w:eastAsia="Calibri" w:hAnsi="Arial" w:cs="Arial"/>
                <w:b/>
                <w:sz w:val="22"/>
                <w:szCs w:val="22"/>
              </w:rPr>
              <w:t>dic</w:t>
            </w:r>
            <w:r w:rsidR="00841F61">
              <w:rPr>
                <w:rFonts w:ascii="Arial" w:eastAsia="Calibri" w:hAnsi="Arial" w:cs="Arial"/>
                <w:b/>
                <w:sz w:val="22"/>
                <w:szCs w:val="22"/>
              </w:rPr>
              <w:t>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5C5A0A" w:rsidRPr="005C5A0A">
              <w:rPr>
                <w:rFonts w:ascii="Arial" w:eastAsia="Cambria" w:hAnsi="Arial" w:cs="Arial"/>
                <w:b/>
                <w:bCs/>
                <w:sz w:val="22"/>
                <w:szCs w:val="22"/>
                <w:lang w:val="es-CR" w:eastAsia="en-US"/>
              </w:rPr>
              <w:t xml:space="preserve">Respuesta a consulta planteada por la Ing. Andrea Cavero Quesada, en el ejercicio de Presidencia de la Junta de Relaciones Laborales, sobre Interpretación auténtica del inciso c), Artículo 22 del “Reglamento para </w:t>
            </w:r>
            <w:r w:rsidR="00E42986">
              <w:rPr>
                <w:rFonts w:ascii="Arial" w:eastAsia="Cambria" w:hAnsi="Arial" w:cs="Arial"/>
                <w:b/>
                <w:bCs/>
                <w:sz w:val="22"/>
                <w:szCs w:val="22"/>
                <w:lang w:val="es-CR" w:eastAsia="en-US"/>
              </w:rPr>
              <w:t>C</w:t>
            </w:r>
            <w:r w:rsidR="005C5A0A" w:rsidRPr="005C5A0A">
              <w:rPr>
                <w:rFonts w:ascii="Arial" w:eastAsia="Cambria" w:hAnsi="Arial" w:cs="Arial"/>
                <w:b/>
                <w:bCs/>
                <w:sz w:val="22"/>
                <w:szCs w:val="22"/>
                <w:lang w:val="es-CR" w:eastAsia="en-US"/>
              </w:rPr>
              <w:t xml:space="preserve">oncursos de </w:t>
            </w:r>
            <w:r w:rsidR="00E42986">
              <w:rPr>
                <w:rFonts w:ascii="Arial" w:eastAsia="Cambria" w:hAnsi="Arial" w:cs="Arial"/>
                <w:b/>
                <w:bCs/>
                <w:sz w:val="22"/>
                <w:szCs w:val="22"/>
                <w:lang w:val="es-CR" w:eastAsia="en-US"/>
              </w:rPr>
              <w:t>A</w:t>
            </w:r>
            <w:r w:rsidR="005C5A0A" w:rsidRPr="005C5A0A">
              <w:rPr>
                <w:rFonts w:ascii="Arial" w:eastAsia="Cambria" w:hAnsi="Arial" w:cs="Arial"/>
                <w:b/>
                <w:bCs/>
                <w:sz w:val="22"/>
                <w:szCs w:val="22"/>
                <w:lang w:val="es-CR" w:eastAsia="en-US"/>
              </w:rPr>
              <w:t xml:space="preserve">ntecedentes </w:t>
            </w:r>
            <w:r w:rsidR="00E42986">
              <w:rPr>
                <w:rFonts w:ascii="Arial" w:eastAsia="Cambria" w:hAnsi="Arial" w:cs="Arial"/>
                <w:b/>
                <w:bCs/>
                <w:sz w:val="22"/>
                <w:szCs w:val="22"/>
                <w:lang w:val="es-CR" w:eastAsia="en-US"/>
              </w:rPr>
              <w:t>I</w:t>
            </w:r>
            <w:r w:rsidR="005C5A0A" w:rsidRPr="005C5A0A">
              <w:rPr>
                <w:rFonts w:ascii="Arial" w:eastAsia="Cambria" w:hAnsi="Arial" w:cs="Arial"/>
                <w:b/>
                <w:bCs/>
                <w:sz w:val="22"/>
                <w:szCs w:val="22"/>
                <w:lang w:val="es-CR" w:eastAsia="en-US"/>
              </w:rPr>
              <w:t xml:space="preserve">nternos y </w:t>
            </w:r>
            <w:r w:rsidR="00E42986">
              <w:rPr>
                <w:rFonts w:ascii="Arial" w:eastAsia="Cambria" w:hAnsi="Arial" w:cs="Arial"/>
                <w:b/>
                <w:bCs/>
                <w:sz w:val="22"/>
                <w:szCs w:val="22"/>
                <w:lang w:val="es-CR" w:eastAsia="en-US"/>
              </w:rPr>
              <w:t>E</w:t>
            </w:r>
            <w:r w:rsidR="005C5A0A" w:rsidRPr="005C5A0A">
              <w:rPr>
                <w:rFonts w:ascii="Arial" w:eastAsia="Cambria" w:hAnsi="Arial" w:cs="Arial"/>
                <w:b/>
                <w:bCs/>
                <w:sz w:val="22"/>
                <w:szCs w:val="22"/>
                <w:lang w:val="es-CR" w:eastAsia="en-US"/>
              </w:rPr>
              <w:t xml:space="preserve">xternos del </w:t>
            </w:r>
            <w:r w:rsidR="00E42986">
              <w:rPr>
                <w:rFonts w:ascii="Arial" w:eastAsia="Cambria" w:hAnsi="Arial" w:cs="Arial"/>
                <w:b/>
                <w:bCs/>
                <w:sz w:val="22"/>
                <w:szCs w:val="22"/>
                <w:lang w:val="es-CR" w:eastAsia="en-US"/>
              </w:rPr>
              <w:t>P</w:t>
            </w:r>
            <w:r w:rsidR="005C5A0A" w:rsidRPr="005C5A0A">
              <w:rPr>
                <w:rFonts w:ascii="Arial" w:eastAsia="Cambria" w:hAnsi="Arial" w:cs="Arial"/>
                <w:b/>
                <w:bCs/>
                <w:sz w:val="22"/>
                <w:szCs w:val="22"/>
                <w:lang w:val="es-CR" w:eastAsia="en-US"/>
              </w:rPr>
              <w:t>ersonal del ITCR”</w:t>
            </w:r>
            <w:r w:rsidR="00E42986">
              <w:rPr>
                <w:rFonts w:ascii="Arial" w:eastAsia="Cambria" w:hAnsi="Arial" w:cs="Arial"/>
                <w:b/>
                <w:bCs/>
                <w:sz w:val="22"/>
                <w:szCs w:val="22"/>
                <w:lang w:val="es-CR" w:eastAsia="en-US"/>
              </w:rPr>
              <w:t xml:space="preserve">, relacionado con el </w:t>
            </w:r>
            <w:r w:rsidR="005C5A0A" w:rsidRPr="005C5A0A">
              <w:rPr>
                <w:rFonts w:ascii="Arial" w:eastAsia="Cambria" w:hAnsi="Arial" w:cs="Arial"/>
                <w:b/>
                <w:bCs/>
                <w:sz w:val="22"/>
                <w:szCs w:val="22"/>
                <w:lang w:val="es-CR" w:eastAsia="en-US"/>
              </w:rPr>
              <w:t>concepto “voto emitido”</w:t>
            </w:r>
          </w:p>
          <w:p w:rsidR="005C5A0A" w:rsidRDefault="005C5A0A" w:rsidP="005C5A0A">
            <w:pPr>
              <w:pStyle w:val="Prrafodelista"/>
              <w:ind w:left="-31"/>
              <w:jc w:val="both"/>
              <w:rPr>
                <w:rFonts w:ascii="Arial" w:eastAsia="Calibri" w:hAnsi="Arial" w:cs="Arial"/>
                <w:b/>
                <w:sz w:val="22"/>
                <w:szCs w:val="22"/>
              </w:rPr>
            </w:pPr>
          </w:p>
          <w:p w:rsidR="005C5A0A" w:rsidRPr="007F1052" w:rsidRDefault="005C5A0A" w:rsidP="005C5A0A">
            <w:pPr>
              <w:pStyle w:val="Prrafodelista"/>
              <w:ind w:left="-31"/>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3276E" w:rsidRDefault="0053276E" w:rsidP="007742A1">
      <w:pPr>
        <w:jc w:val="both"/>
        <w:rPr>
          <w:rFonts w:ascii="Arial" w:eastAsia="Cambria" w:hAnsi="Arial" w:cs="Arial"/>
          <w:lang w:val="es-ES_tradnl" w:eastAsia="en-US"/>
        </w:rPr>
      </w:pPr>
    </w:p>
    <w:p w:rsidR="0053276E" w:rsidRPr="0053276E" w:rsidRDefault="0053276E" w:rsidP="0053276E">
      <w:pPr>
        <w:spacing w:after="200" w:line="288" w:lineRule="auto"/>
        <w:jc w:val="both"/>
        <w:outlineLvl w:val="0"/>
        <w:rPr>
          <w:rFonts w:ascii="Arial" w:eastAsia="Cambria" w:hAnsi="Arial" w:cs="Arial"/>
          <w:b/>
          <w:lang w:val="es-CR" w:eastAsia="en-US"/>
        </w:rPr>
      </w:pPr>
      <w:r w:rsidRPr="0053276E">
        <w:rPr>
          <w:rFonts w:ascii="Arial" w:eastAsia="Cambria" w:hAnsi="Arial" w:cs="Arial"/>
          <w:b/>
          <w:lang w:val="es-CR" w:eastAsia="en-US"/>
        </w:rPr>
        <w:t>RESULTANDO QUE:</w:t>
      </w:r>
    </w:p>
    <w:p w:rsidR="0053276E" w:rsidRPr="0053276E" w:rsidRDefault="0053276E" w:rsidP="0053276E">
      <w:pPr>
        <w:numPr>
          <w:ilvl w:val="0"/>
          <w:numId w:val="46"/>
        </w:numPr>
        <w:tabs>
          <w:tab w:val="num" w:pos="465"/>
        </w:tabs>
        <w:ind w:left="465"/>
        <w:jc w:val="both"/>
        <w:rPr>
          <w:rFonts w:ascii="Arial" w:hAnsi="Arial"/>
          <w:lang w:val="es-CR"/>
        </w:rPr>
      </w:pPr>
      <w:r w:rsidRPr="0053276E">
        <w:rPr>
          <w:rFonts w:ascii="Arial" w:hAnsi="Arial"/>
          <w:lang w:val="es-CR"/>
        </w:rPr>
        <w:t>El artículo 147 del Estatuto Orgánico del ITCR establece, en lo que interesa, dispone:</w:t>
      </w:r>
    </w:p>
    <w:p w:rsidR="0053276E" w:rsidRPr="0053276E" w:rsidRDefault="0053276E" w:rsidP="0053276E">
      <w:pPr>
        <w:jc w:val="both"/>
        <w:rPr>
          <w:rFonts w:ascii="Arial" w:hAnsi="Arial"/>
          <w:lang w:val="es-CR"/>
        </w:rPr>
      </w:pPr>
    </w:p>
    <w:p w:rsidR="0053276E" w:rsidRPr="0053276E" w:rsidRDefault="0053276E" w:rsidP="0053276E">
      <w:pPr>
        <w:ind w:left="709" w:right="284"/>
        <w:jc w:val="both"/>
        <w:rPr>
          <w:rFonts w:ascii="Arial" w:hAnsi="Arial" w:cs="Arial"/>
          <w:i/>
          <w:lang w:val="es-CR"/>
        </w:rPr>
      </w:pPr>
      <w:r w:rsidRPr="0053276E">
        <w:rPr>
          <w:rFonts w:ascii="Arial" w:hAnsi="Arial" w:cs="Arial"/>
          <w:i/>
          <w:lang w:val="es-CR"/>
        </w:rPr>
        <w:t>Artículo 147</w:t>
      </w:r>
    </w:p>
    <w:p w:rsidR="0053276E" w:rsidRPr="0053276E" w:rsidRDefault="0053276E" w:rsidP="0053276E">
      <w:pPr>
        <w:ind w:left="709" w:right="284"/>
        <w:jc w:val="both"/>
        <w:rPr>
          <w:rFonts w:ascii="Arial" w:hAnsi="Arial" w:cs="Arial"/>
          <w:i/>
          <w:lang w:val="es-CR"/>
        </w:rPr>
      </w:pPr>
      <w:r w:rsidRPr="0053276E">
        <w:rPr>
          <w:rFonts w:ascii="Arial" w:hAnsi="Arial" w:cs="Arial"/>
          <w:i/>
          <w:lang w:val="es-CR"/>
        </w:rPr>
        <w:t>Cuando no se especifique otro procedimiento, en los órganos colegiados en que haya votaciones, regirán las siguientes disposiciones:</w:t>
      </w:r>
    </w:p>
    <w:p w:rsidR="0053276E" w:rsidRPr="0053276E" w:rsidRDefault="0053276E" w:rsidP="0053276E">
      <w:pPr>
        <w:ind w:left="709" w:right="284"/>
        <w:jc w:val="both"/>
        <w:rPr>
          <w:rFonts w:ascii="Arial" w:hAnsi="Arial" w:cs="Arial"/>
          <w:i/>
          <w:lang w:val="es-CR"/>
        </w:rPr>
      </w:pPr>
    </w:p>
    <w:p w:rsidR="0053276E" w:rsidRPr="0053276E" w:rsidRDefault="0053276E" w:rsidP="0053276E">
      <w:pPr>
        <w:ind w:left="709" w:right="284"/>
        <w:jc w:val="both"/>
        <w:rPr>
          <w:rFonts w:ascii="Arial" w:hAnsi="Arial" w:cs="Arial"/>
          <w:i/>
          <w:lang w:val="es-CR"/>
        </w:rPr>
      </w:pPr>
      <w:r w:rsidRPr="0053276E">
        <w:rPr>
          <w:rFonts w:ascii="Arial" w:hAnsi="Arial" w:cs="Arial"/>
          <w:i/>
          <w:lang w:val="es-CR"/>
        </w:rPr>
        <w:t>a. …</w:t>
      </w:r>
    </w:p>
    <w:p w:rsidR="0053276E" w:rsidRPr="0053276E" w:rsidRDefault="0053276E" w:rsidP="0053276E">
      <w:pPr>
        <w:ind w:left="993" w:right="284" w:hanging="284"/>
        <w:jc w:val="both"/>
        <w:rPr>
          <w:rFonts w:ascii="Arial" w:hAnsi="Arial" w:cs="Arial"/>
          <w:i/>
          <w:lang w:val="es-CR"/>
        </w:rPr>
      </w:pPr>
      <w:r w:rsidRPr="0053276E">
        <w:rPr>
          <w:rFonts w:ascii="Arial" w:hAnsi="Arial" w:cs="Arial"/>
          <w:i/>
          <w:lang w:val="es-CR"/>
        </w:rPr>
        <w:t>b. Los acuerdos se tomarán con el voto afirmativo de más de la mitad de los miembros presentes</w:t>
      </w:r>
    </w:p>
    <w:p w:rsidR="0053276E" w:rsidRPr="0053276E" w:rsidRDefault="0053276E" w:rsidP="0053276E">
      <w:pPr>
        <w:ind w:left="709" w:right="284"/>
        <w:jc w:val="both"/>
        <w:rPr>
          <w:rFonts w:ascii="Arial" w:hAnsi="Arial"/>
          <w:i/>
          <w:lang w:val="es-CR"/>
        </w:rPr>
      </w:pPr>
      <w:r w:rsidRPr="0053276E">
        <w:rPr>
          <w:rFonts w:ascii="Arial" w:hAnsi="Arial"/>
          <w:i/>
          <w:lang w:val="es-CR"/>
        </w:rPr>
        <w:t xml:space="preserve">    …</w:t>
      </w:r>
    </w:p>
    <w:p w:rsidR="0053276E" w:rsidRPr="0053276E" w:rsidRDefault="0053276E" w:rsidP="0053276E">
      <w:pPr>
        <w:jc w:val="both"/>
        <w:rPr>
          <w:rFonts w:ascii="Arial" w:hAnsi="Arial"/>
          <w:lang w:val="es-CR"/>
        </w:rPr>
      </w:pPr>
    </w:p>
    <w:p w:rsidR="0053276E" w:rsidRPr="0053276E" w:rsidRDefault="0053276E" w:rsidP="0053276E">
      <w:pPr>
        <w:numPr>
          <w:ilvl w:val="0"/>
          <w:numId w:val="46"/>
        </w:numPr>
        <w:tabs>
          <w:tab w:val="num" w:pos="465"/>
        </w:tabs>
        <w:ind w:left="465"/>
        <w:jc w:val="both"/>
        <w:rPr>
          <w:rFonts w:ascii="Arial" w:hAnsi="Arial"/>
          <w:lang w:val="es-CR"/>
        </w:rPr>
      </w:pPr>
      <w:r w:rsidRPr="0053276E">
        <w:rPr>
          <w:rFonts w:ascii="Arial" w:hAnsi="Arial"/>
          <w:lang w:val="es-CR"/>
        </w:rPr>
        <w:t>El inciso c del artículo 22 del “Reglamento para Concursos de Antecedentes Internos y Externos del Personal del Instituto Tecnológico de Costa Rica” establece lo siguiente:</w:t>
      </w:r>
    </w:p>
    <w:p w:rsidR="0053276E" w:rsidRPr="0053276E" w:rsidRDefault="0053276E" w:rsidP="0053276E">
      <w:pPr>
        <w:jc w:val="both"/>
        <w:rPr>
          <w:rFonts w:ascii="Arial" w:eastAsia="Cambria" w:hAnsi="Arial" w:cs="Arial"/>
          <w:lang w:val="es-CR" w:eastAsia="en-US"/>
        </w:rPr>
      </w:pPr>
    </w:p>
    <w:p w:rsidR="0053276E" w:rsidRPr="0053276E" w:rsidRDefault="0053276E" w:rsidP="0053276E">
      <w:pPr>
        <w:ind w:left="993" w:right="284" w:hanging="284"/>
        <w:jc w:val="both"/>
        <w:rPr>
          <w:rFonts w:ascii="Arial" w:hAnsi="Arial" w:cs="Arial"/>
          <w:i/>
          <w:lang w:val="es-CR"/>
        </w:rPr>
      </w:pPr>
      <w:r w:rsidRPr="0053276E">
        <w:rPr>
          <w:rFonts w:ascii="Arial" w:hAnsi="Arial" w:cs="Arial"/>
          <w:i/>
          <w:lang w:val="es-CR"/>
        </w:rPr>
        <w:t>c. La recomendación de un oferente debe contar con más de la mitad de los votos emitidos. En caso necesario se puede hacer una nueva votación con los dos oferentes que hubieran obtenido los primeros lugares en la primera votación, o proceder según lo establecido por el consejo de departamento o escuela.</w:t>
      </w:r>
    </w:p>
    <w:p w:rsidR="0053276E" w:rsidRPr="0053276E" w:rsidRDefault="0053276E" w:rsidP="0053276E">
      <w:pPr>
        <w:spacing w:after="200" w:line="288" w:lineRule="auto"/>
        <w:jc w:val="both"/>
        <w:outlineLvl w:val="0"/>
        <w:rPr>
          <w:rFonts w:ascii="Arial" w:eastAsia="Cambria" w:hAnsi="Arial" w:cs="Arial"/>
          <w:b/>
          <w:lang w:val="es-CR" w:eastAsia="en-US"/>
        </w:rPr>
      </w:pPr>
    </w:p>
    <w:p w:rsidR="0053276E" w:rsidRPr="0053276E" w:rsidRDefault="0053276E" w:rsidP="0053276E">
      <w:pPr>
        <w:numPr>
          <w:ilvl w:val="0"/>
          <w:numId w:val="46"/>
        </w:numPr>
        <w:tabs>
          <w:tab w:val="num" w:pos="465"/>
        </w:tabs>
        <w:ind w:left="465"/>
        <w:jc w:val="both"/>
        <w:rPr>
          <w:rFonts w:ascii="Arial" w:hAnsi="Arial"/>
          <w:lang w:val="es-CR"/>
        </w:rPr>
      </w:pPr>
      <w:r w:rsidRPr="0053276E">
        <w:rPr>
          <w:rFonts w:ascii="Arial" w:hAnsi="Arial"/>
          <w:lang w:val="es-CR"/>
        </w:rPr>
        <w:t xml:space="preserve">La Secretaría del Consejo Institucional recibió oficio JRL-45-2017, con fecha de recibido 12 de octubre de 2017, suscrito por la Ing. Andrea Cavero Quesada, en su condición de Presidenta de la Junta de Relaciones Laborales, en el </w:t>
      </w:r>
      <w:proofErr w:type="gramStart"/>
      <w:r w:rsidRPr="0053276E">
        <w:rPr>
          <w:rFonts w:ascii="Arial" w:hAnsi="Arial"/>
          <w:lang w:val="es-CR"/>
        </w:rPr>
        <w:t xml:space="preserve">cual  </w:t>
      </w:r>
      <w:r w:rsidRPr="0053276E">
        <w:rPr>
          <w:rFonts w:ascii="Arial" w:hAnsi="Arial"/>
          <w:lang w:val="es-CR"/>
        </w:rPr>
        <w:lastRenderedPageBreak/>
        <w:t>plantea</w:t>
      </w:r>
      <w:proofErr w:type="gramEnd"/>
      <w:r w:rsidRPr="0053276E">
        <w:rPr>
          <w:rFonts w:ascii="Arial" w:hAnsi="Arial"/>
          <w:lang w:val="es-CR"/>
        </w:rPr>
        <w:t xml:space="preserve"> la solicitud de interpretación del concepto de “voto emitido”, en los siguientes términos:</w:t>
      </w:r>
    </w:p>
    <w:p w:rsidR="0053276E" w:rsidRPr="0053276E" w:rsidRDefault="0053276E" w:rsidP="0053276E">
      <w:pPr>
        <w:jc w:val="both"/>
        <w:rPr>
          <w:rFonts w:ascii="Arial" w:hAnsi="Arial"/>
          <w:lang w:val="es-CR"/>
        </w:rPr>
      </w:pPr>
    </w:p>
    <w:p w:rsidR="0053276E" w:rsidRPr="0053276E" w:rsidRDefault="0053276E" w:rsidP="0053276E">
      <w:pPr>
        <w:shd w:val="clear" w:color="auto" w:fill="FFFFFF"/>
        <w:tabs>
          <w:tab w:val="left" w:pos="8505"/>
        </w:tabs>
        <w:ind w:left="709" w:right="284"/>
        <w:jc w:val="both"/>
        <w:rPr>
          <w:rFonts w:ascii="Arial" w:hAnsi="Arial" w:cs="Arial"/>
          <w:i/>
          <w:color w:val="000000"/>
          <w:sz w:val="22"/>
          <w:szCs w:val="22"/>
          <w:lang w:val="es-CR" w:eastAsia="es-CR"/>
        </w:rPr>
      </w:pPr>
      <w:r w:rsidRPr="0053276E">
        <w:rPr>
          <w:rFonts w:ascii="Arial" w:hAnsi="Arial" w:cs="Arial"/>
          <w:i/>
          <w:color w:val="000000"/>
          <w:sz w:val="22"/>
          <w:szCs w:val="22"/>
          <w:lang w:val="es-CR" w:eastAsia="es-CR"/>
        </w:rPr>
        <w:t>“Con el objetivo de resolver un caso que está bajo conocimiento de la Junta de Relaciones Laborales, solicitamos interpretación auténtica del artículo 22 inciso c del Reglamento de Concursos de Antecedentes Internos y Externos del ITCR.  Para ello queremos proporcionar un breve contexto que sirva de insumo para resolver esta solicitud.</w:t>
      </w:r>
    </w:p>
    <w:p w:rsidR="0053276E" w:rsidRPr="0053276E" w:rsidRDefault="0053276E" w:rsidP="0053276E">
      <w:pPr>
        <w:shd w:val="clear" w:color="auto" w:fill="FFFFFF"/>
        <w:tabs>
          <w:tab w:val="left" w:pos="8505"/>
        </w:tabs>
        <w:ind w:left="709" w:right="284"/>
        <w:jc w:val="both"/>
        <w:rPr>
          <w:rFonts w:ascii="Arial" w:hAnsi="Arial" w:cs="Arial"/>
          <w:i/>
          <w:color w:val="000000"/>
          <w:sz w:val="22"/>
          <w:szCs w:val="22"/>
          <w:lang w:val="es-CR" w:eastAsia="es-CR"/>
        </w:rPr>
      </w:pPr>
      <w:r w:rsidRPr="0053276E">
        <w:rPr>
          <w:rFonts w:ascii="Arial" w:hAnsi="Arial" w:cs="Arial"/>
          <w:i/>
          <w:color w:val="000000"/>
          <w:sz w:val="22"/>
          <w:szCs w:val="22"/>
          <w:lang w:val="es-CR" w:eastAsia="es-CR"/>
        </w:rPr>
        <w:t>El artículo 147 del Estatuto Orgánico regula la forma en la se debe proceder cuando haya asuntos que deben ser aprobados por votación en Órganos Colegiados.  Para lo correspondiente a esta consulta este artículo establece lo siguiente:</w:t>
      </w:r>
    </w:p>
    <w:p w:rsidR="0053276E" w:rsidRPr="0053276E" w:rsidRDefault="0053276E" w:rsidP="0053276E">
      <w:pPr>
        <w:shd w:val="clear" w:color="auto" w:fill="FFFFFF"/>
        <w:tabs>
          <w:tab w:val="left" w:pos="8505"/>
        </w:tabs>
        <w:ind w:left="709" w:right="284"/>
        <w:jc w:val="both"/>
        <w:rPr>
          <w:rFonts w:ascii="Arial" w:hAnsi="Arial" w:cs="Arial"/>
          <w:i/>
          <w:color w:val="000000"/>
          <w:sz w:val="22"/>
          <w:szCs w:val="22"/>
          <w:lang w:val="es-CR" w:eastAsia="es-CR"/>
        </w:rPr>
      </w:pPr>
    </w:p>
    <w:p w:rsidR="0053276E" w:rsidRPr="0053276E" w:rsidRDefault="0053276E" w:rsidP="0053276E">
      <w:pPr>
        <w:shd w:val="clear" w:color="auto" w:fill="FFFFFF"/>
        <w:tabs>
          <w:tab w:val="left" w:pos="8505"/>
        </w:tabs>
        <w:ind w:left="709" w:right="284"/>
        <w:jc w:val="both"/>
        <w:rPr>
          <w:rFonts w:ascii="Arial" w:hAnsi="Arial" w:cs="Arial"/>
          <w:i/>
          <w:color w:val="000000"/>
          <w:sz w:val="22"/>
          <w:szCs w:val="22"/>
          <w:lang w:val="es-CR" w:eastAsia="es-CR"/>
        </w:rPr>
      </w:pPr>
      <w:r w:rsidRPr="0053276E">
        <w:rPr>
          <w:rFonts w:ascii="Arial" w:hAnsi="Arial" w:cs="Arial"/>
          <w:i/>
          <w:color w:val="000000"/>
          <w:sz w:val="22"/>
          <w:szCs w:val="22"/>
          <w:lang w:val="es-CR" w:eastAsia="es-CR"/>
        </w:rPr>
        <w:t>“</w:t>
      </w:r>
      <w:r w:rsidRPr="0053276E">
        <w:rPr>
          <w:rFonts w:ascii="Arial" w:hAnsi="Arial" w:cs="Arial"/>
          <w:b/>
          <w:bCs/>
          <w:i/>
          <w:color w:val="000000"/>
          <w:sz w:val="22"/>
          <w:szCs w:val="22"/>
          <w:lang w:val="es-CR" w:eastAsia="es-CR"/>
        </w:rPr>
        <w:t>b. Los acuerdos se tomarán con el voto afirmativo de más de la mitad de los miembros presentes</w:t>
      </w:r>
      <w:r w:rsidRPr="0053276E">
        <w:rPr>
          <w:rFonts w:ascii="Arial" w:hAnsi="Arial" w:cs="Arial"/>
          <w:i/>
          <w:color w:val="000000"/>
          <w:sz w:val="22"/>
          <w:szCs w:val="22"/>
          <w:lang w:val="es-CR" w:eastAsia="es-CR"/>
        </w:rPr>
        <w:t>”</w:t>
      </w:r>
    </w:p>
    <w:p w:rsidR="0053276E" w:rsidRPr="0053276E" w:rsidRDefault="0053276E" w:rsidP="0053276E">
      <w:pPr>
        <w:shd w:val="clear" w:color="auto" w:fill="FFFFFF"/>
        <w:tabs>
          <w:tab w:val="left" w:pos="8505"/>
        </w:tabs>
        <w:ind w:left="709" w:right="284"/>
        <w:jc w:val="both"/>
        <w:rPr>
          <w:rFonts w:ascii="Arial" w:hAnsi="Arial" w:cs="Arial"/>
          <w:i/>
          <w:color w:val="000000"/>
          <w:sz w:val="22"/>
          <w:szCs w:val="22"/>
          <w:lang w:val="es-CR" w:eastAsia="es-CR"/>
        </w:rPr>
      </w:pPr>
    </w:p>
    <w:p w:rsidR="0053276E" w:rsidRPr="0053276E" w:rsidRDefault="0053276E" w:rsidP="0053276E">
      <w:pPr>
        <w:shd w:val="clear" w:color="auto" w:fill="FFFFFF"/>
        <w:tabs>
          <w:tab w:val="left" w:pos="8505"/>
        </w:tabs>
        <w:ind w:left="709" w:right="284"/>
        <w:jc w:val="both"/>
        <w:rPr>
          <w:rFonts w:ascii="Arial" w:hAnsi="Arial" w:cs="Arial"/>
          <w:i/>
          <w:color w:val="000000"/>
          <w:sz w:val="22"/>
          <w:szCs w:val="22"/>
          <w:lang w:val="es-CR" w:eastAsia="es-CR"/>
        </w:rPr>
      </w:pPr>
      <w:r w:rsidRPr="0053276E">
        <w:rPr>
          <w:rFonts w:ascii="Arial" w:hAnsi="Arial" w:cs="Arial"/>
          <w:i/>
          <w:color w:val="000000"/>
          <w:sz w:val="22"/>
          <w:szCs w:val="22"/>
          <w:lang w:val="es-CR" w:eastAsia="es-CR"/>
        </w:rPr>
        <w:t>Pero este mismo artículo indica que esta forma de proceder se aplicara “</w:t>
      </w:r>
      <w:r w:rsidRPr="0053276E">
        <w:rPr>
          <w:rFonts w:ascii="Arial" w:hAnsi="Arial" w:cs="Arial"/>
          <w:b/>
          <w:bCs/>
          <w:i/>
          <w:color w:val="000000"/>
          <w:sz w:val="22"/>
          <w:szCs w:val="22"/>
          <w:lang w:val="es-CR" w:eastAsia="es-CR"/>
        </w:rPr>
        <w:t>Cuando no se especifique otro procedimiento</w:t>
      </w:r>
      <w:r w:rsidRPr="0053276E">
        <w:rPr>
          <w:rFonts w:ascii="Arial" w:hAnsi="Arial" w:cs="Arial"/>
          <w:i/>
          <w:color w:val="000000"/>
          <w:sz w:val="22"/>
          <w:szCs w:val="22"/>
          <w:lang w:val="es-CR" w:eastAsia="es-CR"/>
        </w:rPr>
        <w:t>”.   </w:t>
      </w:r>
    </w:p>
    <w:p w:rsidR="0053276E" w:rsidRPr="0053276E" w:rsidRDefault="0053276E" w:rsidP="0053276E">
      <w:pPr>
        <w:shd w:val="clear" w:color="auto" w:fill="FFFFFF"/>
        <w:tabs>
          <w:tab w:val="left" w:pos="8505"/>
        </w:tabs>
        <w:ind w:left="709" w:right="284"/>
        <w:jc w:val="both"/>
        <w:rPr>
          <w:rFonts w:ascii="Arial" w:hAnsi="Arial" w:cs="Arial"/>
          <w:i/>
          <w:color w:val="000000"/>
          <w:sz w:val="22"/>
          <w:szCs w:val="22"/>
          <w:lang w:val="es-CR" w:eastAsia="es-CR"/>
        </w:rPr>
      </w:pPr>
    </w:p>
    <w:p w:rsidR="0053276E" w:rsidRPr="0053276E" w:rsidRDefault="0053276E" w:rsidP="0053276E">
      <w:pPr>
        <w:shd w:val="clear" w:color="auto" w:fill="FFFFFF"/>
        <w:tabs>
          <w:tab w:val="left" w:pos="8505"/>
        </w:tabs>
        <w:ind w:left="709" w:right="284"/>
        <w:jc w:val="both"/>
        <w:rPr>
          <w:rFonts w:ascii="Arial" w:hAnsi="Arial" w:cs="Arial"/>
          <w:i/>
          <w:color w:val="000000"/>
          <w:sz w:val="22"/>
          <w:szCs w:val="22"/>
          <w:lang w:val="es-CR" w:eastAsia="es-CR"/>
        </w:rPr>
      </w:pPr>
      <w:r w:rsidRPr="0053276E">
        <w:rPr>
          <w:rFonts w:ascii="Arial" w:hAnsi="Arial" w:cs="Arial"/>
          <w:i/>
          <w:color w:val="000000"/>
          <w:sz w:val="22"/>
          <w:szCs w:val="22"/>
          <w:lang w:val="es-CR" w:eastAsia="es-CR"/>
        </w:rPr>
        <w:t>Resulta que, en materia de concursos de antecedentes, el Reglamento de Concursos de Antecedentes Internos y Externos del ITCR, establece en el artículo 22 inciso c lo siguiente (citamos únicamente lo correspondiente a la consulta):</w:t>
      </w:r>
    </w:p>
    <w:p w:rsidR="0053276E" w:rsidRPr="0053276E" w:rsidRDefault="0053276E" w:rsidP="0053276E">
      <w:pPr>
        <w:shd w:val="clear" w:color="auto" w:fill="FFFFFF"/>
        <w:tabs>
          <w:tab w:val="left" w:pos="8505"/>
        </w:tabs>
        <w:ind w:left="709" w:right="284"/>
        <w:jc w:val="both"/>
        <w:rPr>
          <w:rFonts w:ascii="Arial" w:hAnsi="Arial" w:cs="Arial"/>
          <w:i/>
          <w:color w:val="000000"/>
          <w:sz w:val="22"/>
          <w:szCs w:val="22"/>
          <w:lang w:val="es-CR" w:eastAsia="es-CR"/>
        </w:rPr>
      </w:pPr>
    </w:p>
    <w:p w:rsidR="0053276E" w:rsidRPr="0053276E" w:rsidRDefault="0053276E" w:rsidP="0053276E">
      <w:pPr>
        <w:shd w:val="clear" w:color="auto" w:fill="FFFFFF"/>
        <w:tabs>
          <w:tab w:val="left" w:pos="8505"/>
        </w:tabs>
        <w:ind w:left="709" w:right="284"/>
        <w:jc w:val="both"/>
        <w:rPr>
          <w:rFonts w:ascii="Arial" w:hAnsi="Arial" w:cs="Arial"/>
          <w:i/>
          <w:color w:val="000000"/>
          <w:sz w:val="22"/>
          <w:szCs w:val="22"/>
          <w:lang w:val="es-CR" w:eastAsia="es-CR"/>
        </w:rPr>
      </w:pPr>
      <w:r w:rsidRPr="0053276E">
        <w:rPr>
          <w:rFonts w:ascii="Arial" w:hAnsi="Arial" w:cs="Arial"/>
          <w:i/>
          <w:color w:val="000000"/>
          <w:sz w:val="22"/>
          <w:szCs w:val="22"/>
          <w:lang w:val="es-CR" w:eastAsia="es-CR"/>
        </w:rPr>
        <w:t>“</w:t>
      </w:r>
      <w:r w:rsidRPr="0053276E">
        <w:rPr>
          <w:rFonts w:ascii="Arial" w:hAnsi="Arial" w:cs="Arial"/>
          <w:b/>
          <w:bCs/>
          <w:i/>
          <w:color w:val="000000"/>
          <w:sz w:val="22"/>
          <w:szCs w:val="22"/>
          <w:lang w:val="es-CR" w:eastAsia="es-CR"/>
        </w:rPr>
        <w:t>c. La recomendación de un oferente debe contar con más de la mitad de los votos emitidos</w:t>
      </w:r>
      <w:r w:rsidRPr="0053276E">
        <w:rPr>
          <w:rFonts w:ascii="Arial" w:hAnsi="Arial" w:cs="Arial"/>
          <w:i/>
          <w:color w:val="000000"/>
          <w:sz w:val="22"/>
          <w:szCs w:val="22"/>
          <w:lang w:val="es-CR" w:eastAsia="es-CR"/>
        </w:rPr>
        <w:t>”</w:t>
      </w:r>
    </w:p>
    <w:p w:rsidR="0053276E" w:rsidRPr="0053276E" w:rsidRDefault="0053276E" w:rsidP="0053276E">
      <w:pPr>
        <w:shd w:val="clear" w:color="auto" w:fill="FFFFFF"/>
        <w:tabs>
          <w:tab w:val="left" w:pos="8505"/>
        </w:tabs>
        <w:ind w:left="709" w:right="284"/>
        <w:jc w:val="both"/>
        <w:rPr>
          <w:rFonts w:ascii="Arial" w:hAnsi="Arial" w:cs="Arial"/>
          <w:i/>
          <w:color w:val="000000"/>
          <w:sz w:val="22"/>
          <w:szCs w:val="22"/>
          <w:lang w:val="es-CR" w:eastAsia="es-CR"/>
        </w:rPr>
      </w:pPr>
    </w:p>
    <w:p w:rsidR="0053276E" w:rsidRPr="0053276E" w:rsidRDefault="0053276E" w:rsidP="0053276E">
      <w:pPr>
        <w:shd w:val="clear" w:color="auto" w:fill="FFFFFF"/>
        <w:tabs>
          <w:tab w:val="left" w:pos="8505"/>
        </w:tabs>
        <w:ind w:left="709" w:right="284"/>
        <w:jc w:val="both"/>
        <w:rPr>
          <w:rFonts w:ascii="Arial" w:hAnsi="Arial" w:cs="Arial"/>
          <w:i/>
          <w:color w:val="000000"/>
          <w:sz w:val="22"/>
          <w:szCs w:val="22"/>
          <w:lang w:val="es-CR" w:eastAsia="es-CR"/>
        </w:rPr>
      </w:pPr>
      <w:r w:rsidRPr="0053276E">
        <w:rPr>
          <w:rFonts w:ascii="Arial" w:hAnsi="Arial" w:cs="Arial"/>
          <w:i/>
          <w:color w:val="000000"/>
          <w:sz w:val="22"/>
          <w:szCs w:val="22"/>
          <w:lang w:val="es-CR" w:eastAsia="es-CR"/>
        </w:rPr>
        <w:t>Los conceptos de “más de la mitad de los miembros presentes” y “más de la mitad de los votos emitidos”, parecerían tener un significado diferente. ¿Cómo debe ser interpretado “más de la mitad de los votos emitidos”, en votaciones para recomendar el nombramiento de personal? Pero adicionalmente, el concepto de “más de la mitad de los votos emitidos” parece remitir a una parte entera en aquellos casos en los que el valor del voto por persona es uno.  ¿Cómo debe ser interpretado “más de la mitad de los votos emitidos” en aquellos casos en los que el quorum conformado durante una votación es impar?”</w:t>
      </w:r>
    </w:p>
    <w:p w:rsidR="0053276E" w:rsidRPr="0053276E" w:rsidRDefault="0053276E" w:rsidP="0053276E">
      <w:pPr>
        <w:jc w:val="both"/>
        <w:rPr>
          <w:rFonts w:ascii="Arial" w:eastAsia="Cambria" w:hAnsi="Arial" w:cs="Arial"/>
          <w:lang w:val="es-CR" w:eastAsia="en-US"/>
        </w:rPr>
      </w:pPr>
    </w:p>
    <w:p w:rsidR="0053276E" w:rsidRPr="0053276E" w:rsidRDefault="0053276E" w:rsidP="0053276E">
      <w:pPr>
        <w:numPr>
          <w:ilvl w:val="0"/>
          <w:numId w:val="46"/>
        </w:numPr>
        <w:tabs>
          <w:tab w:val="num" w:pos="465"/>
        </w:tabs>
        <w:ind w:left="465"/>
        <w:jc w:val="both"/>
        <w:rPr>
          <w:rFonts w:ascii="Arial" w:eastAsia="Cambria" w:hAnsi="Arial" w:cs="Arial"/>
          <w:lang w:val="es-CR" w:eastAsia="en-US"/>
        </w:rPr>
      </w:pPr>
      <w:r w:rsidRPr="0053276E">
        <w:rPr>
          <w:rFonts w:ascii="Arial" w:hAnsi="Arial"/>
          <w:lang w:val="es-CR"/>
        </w:rPr>
        <w:t xml:space="preserve">La Sala Constitucional ha señalado, en el Voto 1313-93, que las universidades estatales costarricenses </w:t>
      </w:r>
      <w:r w:rsidRPr="0053276E">
        <w:rPr>
          <w:rFonts w:ascii="Arial" w:hAnsi="Arial"/>
          <w:i/>
          <w:iCs/>
          <w:lang w:val="es-CR"/>
        </w:rPr>
        <w:t xml:space="preserve">“…tienen poder reglamentario (autónomo y de ejecución); pueden </w:t>
      </w:r>
      <w:proofErr w:type="spellStart"/>
      <w:r w:rsidRPr="0053276E">
        <w:rPr>
          <w:rFonts w:ascii="Arial" w:hAnsi="Arial"/>
          <w:i/>
          <w:iCs/>
          <w:lang w:val="es-CR"/>
        </w:rPr>
        <w:t>autoestructurarse</w:t>
      </w:r>
      <w:proofErr w:type="spellEnd"/>
      <w:r w:rsidRPr="0053276E">
        <w:rPr>
          <w:rFonts w:ascii="Arial" w:hAnsi="Arial"/>
          <w:i/>
          <w:iCs/>
          <w:lang w:val="es-CR"/>
        </w:rPr>
        <w:t>, repartir sus competencias en el ámbito interno del ente, desconcentrarse en lo jurídicamente posible y lícito, regular el servicio que prestan, y decidir libremente sobre su personal”.</w:t>
      </w:r>
    </w:p>
    <w:p w:rsidR="0053276E" w:rsidRPr="0053276E" w:rsidRDefault="0053276E" w:rsidP="0053276E">
      <w:pPr>
        <w:spacing w:after="200" w:line="288" w:lineRule="auto"/>
        <w:jc w:val="both"/>
        <w:outlineLvl w:val="0"/>
        <w:rPr>
          <w:rFonts w:ascii="Arial" w:eastAsia="Cambria" w:hAnsi="Arial" w:cs="Arial"/>
          <w:b/>
          <w:lang w:val="es-CR" w:eastAsia="en-US"/>
        </w:rPr>
      </w:pPr>
    </w:p>
    <w:p w:rsidR="0053276E" w:rsidRPr="0053276E" w:rsidRDefault="0053276E" w:rsidP="0053276E">
      <w:pPr>
        <w:spacing w:after="200" w:line="288" w:lineRule="auto"/>
        <w:jc w:val="both"/>
        <w:outlineLvl w:val="0"/>
        <w:rPr>
          <w:rFonts w:ascii="Arial" w:eastAsia="Cambria" w:hAnsi="Arial" w:cs="Arial"/>
          <w:b/>
          <w:lang w:val="es-CR" w:eastAsia="en-US"/>
        </w:rPr>
      </w:pPr>
      <w:r w:rsidRPr="0053276E">
        <w:rPr>
          <w:rFonts w:ascii="Arial" w:eastAsia="Cambria" w:hAnsi="Arial" w:cs="Arial"/>
          <w:b/>
          <w:lang w:val="es-CR" w:eastAsia="en-US"/>
        </w:rPr>
        <w:t>CONSIDERANDO QUE:</w:t>
      </w:r>
    </w:p>
    <w:p w:rsidR="0053276E" w:rsidRPr="0053276E" w:rsidRDefault="0053276E" w:rsidP="0053276E">
      <w:pPr>
        <w:numPr>
          <w:ilvl w:val="1"/>
          <w:numId w:val="47"/>
        </w:numPr>
        <w:ind w:left="426"/>
        <w:jc w:val="both"/>
        <w:rPr>
          <w:rFonts w:ascii="Arial" w:hAnsi="Arial" w:cs="Arial"/>
          <w:lang w:val="es-ES_tradnl"/>
        </w:rPr>
      </w:pPr>
      <w:r w:rsidRPr="0053276E">
        <w:rPr>
          <w:rFonts w:ascii="Arial" w:hAnsi="Arial" w:cs="Arial"/>
          <w:lang w:val="es-ES_tradnl"/>
        </w:rPr>
        <w:t>Dado que el “Reglamento para Concursos de Antecedentes Internos y Externos del personal del Instituto Tecnológico de Costa Rica” establece en el artículo 22, inciso c, el procedimiento para la aprobación de la propuesta de nombramiento, no aplica en estos casos lo dispuesto en el inciso b del artículo 147 del Estatuto Orgánico del ITCR.</w:t>
      </w:r>
    </w:p>
    <w:p w:rsidR="0053276E" w:rsidRPr="0053276E" w:rsidRDefault="0053276E" w:rsidP="0053276E">
      <w:pPr>
        <w:ind w:left="360"/>
        <w:jc w:val="both"/>
        <w:rPr>
          <w:rFonts w:ascii="Arial" w:hAnsi="Arial" w:cs="Arial"/>
          <w:lang w:val="es-ES_tradnl"/>
        </w:rPr>
      </w:pPr>
    </w:p>
    <w:p w:rsidR="0053276E" w:rsidRPr="0053276E" w:rsidRDefault="0053276E" w:rsidP="0053276E">
      <w:pPr>
        <w:numPr>
          <w:ilvl w:val="1"/>
          <w:numId w:val="47"/>
        </w:numPr>
        <w:ind w:left="426"/>
        <w:jc w:val="both"/>
        <w:rPr>
          <w:rFonts w:ascii="Arial" w:hAnsi="Arial" w:cs="Arial"/>
          <w:lang w:val="es-ES_tradnl"/>
        </w:rPr>
      </w:pPr>
      <w:r w:rsidRPr="0053276E">
        <w:rPr>
          <w:rFonts w:ascii="Arial" w:hAnsi="Arial" w:cs="Arial"/>
          <w:lang w:val="es-ES_tradnl"/>
        </w:rPr>
        <w:t xml:space="preserve">Para evitar cualquier tipo de ambigüedad en el trámite de aprobación de la propuesta de nombramiento en el contexto de los concursos, tanto internos como externos, en el marco del “Reglamento para Concursos de Antecedentes Internos </w:t>
      </w:r>
      <w:r w:rsidRPr="0053276E">
        <w:rPr>
          <w:rFonts w:ascii="Arial" w:hAnsi="Arial" w:cs="Arial"/>
          <w:lang w:val="es-ES_tradnl"/>
        </w:rPr>
        <w:lastRenderedPageBreak/>
        <w:t>y Externos del Personal del Instituto Tecnológico de Costa Rica”, es conveniente explicitar que las personas integrantes del Consejo de Escuela o Departamento presentes en la sesión, tienen la obligación de emitir el voto.</w:t>
      </w:r>
    </w:p>
    <w:p w:rsidR="0053276E" w:rsidRPr="0053276E" w:rsidRDefault="0053276E" w:rsidP="0053276E">
      <w:pPr>
        <w:ind w:left="708"/>
        <w:rPr>
          <w:rFonts w:ascii="Arial" w:hAnsi="Arial" w:cs="Arial"/>
          <w:lang w:val="es-ES_tradnl"/>
        </w:rPr>
      </w:pPr>
    </w:p>
    <w:p w:rsidR="0053276E" w:rsidRPr="0053276E" w:rsidRDefault="0053276E" w:rsidP="0053276E">
      <w:pPr>
        <w:numPr>
          <w:ilvl w:val="1"/>
          <w:numId w:val="47"/>
        </w:numPr>
        <w:ind w:left="426"/>
        <w:jc w:val="both"/>
        <w:rPr>
          <w:rFonts w:ascii="Arial" w:hAnsi="Arial" w:cs="Arial"/>
          <w:lang w:val="es-ES_tradnl"/>
        </w:rPr>
      </w:pPr>
      <w:r w:rsidRPr="0053276E">
        <w:rPr>
          <w:rFonts w:ascii="Arial" w:hAnsi="Arial" w:cs="Arial"/>
          <w:lang w:val="es-ES_tradnl"/>
        </w:rPr>
        <w:t xml:space="preserve">La Comisión de Planificación y Administración analizó documentación </w:t>
      </w:r>
      <w:proofErr w:type="spellStart"/>
      <w:r w:rsidRPr="0053276E">
        <w:rPr>
          <w:rFonts w:ascii="Arial" w:hAnsi="Arial" w:cs="Arial"/>
          <w:lang w:val="es-ES_tradnl"/>
        </w:rPr>
        <w:t>relacionda</w:t>
      </w:r>
      <w:proofErr w:type="spellEnd"/>
      <w:r w:rsidRPr="0053276E">
        <w:rPr>
          <w:rFonts w:ascii="Arial" w:hAnsi="Arial" w:cs="Arial"/>
          <w:lang w:val="es-ES_tradnl"/>
        </w:rPr>
        <w:t xml:space="preserve"> con el tema de la consulta de la Ing. Cavero, tanto  generada por el Tribunal Supremo de Elecciones como la vigente en otras universidades estatales costarricenses, llegando a la conclusión de que lo dispuesto por el Tribunal Supremo de Elecciones no es vinculante porque trata de procesos electorales y el tema de la consulta no tiene esa naturaleza, y que la normativa de las otras universidades corresponde a resoluciones internas que no son vinculantes para el TEC,  y que en ambos casos el TEC tiene capacidad jurídica de resolver de manera diferente si así lo consideran sus órganos internos con respaldo en la autonomía universitaria que le asigna la Constitución Política de la República de Costa Rica.</w:t>
      </w:r>
    </w:p>
    <w:p w:rsidR="0053276E" w:rsidRPr="0053276E" w:rsidRDefault="0053276E" w:rsidP="0053276E">
      <w:pPr>
        <w:jc w:val="both"/>
        <w:rPr>
          <w:rFonts w:ascii="Arial" w:hAnsi="Arial" w:cs="Arial"/>
          <w:sz w:val="20"/>
          <w:szCs w:val="20"/>
          <w:lang w:val="es-ES_tradnl"/>
        </w:rPr>
      </w:pPr>
    </w:p>
    <w:p w:rsidR="0053276E" w:rsidRPr="0053276E" w:rsidRDefault="0053276E" w:rsidP="0053276E">
      <w:pPr>
        <w:jc w:val="both"/>
        <w:rPr>
          <w:rFonts w:ascii="Arial" w:hAnsi="Arial" w:cs="Arial"/>
          <w:b/>
          <w:lang w:val="es-CR"/>
        </w:rPr>
      </w:pPr>
      <w:r w:rsidRPr="0053276E">
        <w:rPr>
          <w:rFonts w:ascii="Arial" w:hAnsi="Arial" w:cs="Arial"/>
          <w:b/>
          <w:lang w:val="es-CR"/>
        </w:rPr>
        <w:t>SE</w:t>
      </w:r>
      <w:r>
        <w:rPr>
          <w:rFonts w:ascii="Arial" w:hAnsi="Arial" w:cs="Arial"/>
          <w:b/>
          <w:lang w:val="es-CR"/>
        </w:rPr>
        <w:t xml:space="preserve"> ACUERDA</w:t>
      </w:r>
      <w:r w:rsidRPr="0053276E">
        <w:rPr>
          <w:rFonts w:ascii="Arial" w:hAnsi="Arial" w:cs="Arial"/>
          <w:b/>
          <w:lang w:val="es-CR"/>
        </w:rPr>
        <w:t>:</w:t>
      </w:r>
    </w:p>
    <w:p w:rsidR="0053276E" w:rsidRPr="0053276E" w:rsidRDefault="0053276E" w:rsidP="0053276E">
      <w:pPr>
        <w:jc w:val="both"/>
        <w:rPr>
          <w:rFonts w:ascii="Arial" w:hAnsi="Arial" w:cs="Arial"/>
          <w:sz w:val="16"/>
          <w:szCs w:val="16"/>
        </w:rPr>
      </w:pPr>
    </w:p>
    <w:p w:rsidR="0053276E" w:rsidRPr="0053276E" w:rsidRDefault="0053276E" w:rsidP="0053276E">
      <w:pPr>
        <w:numPr>
          <w:ilvl w:val="0"/>
          <w:numId w:val="48"/>
        </w:numPr>
        <w:autoSpaceDE w:val="0"/>
        <w:autoSpaceDN w:val="0"/>
        <w:adjustRightInd w:val="0"/>
        <w:ind w:left="426"/>
        <w:jc w:val="both"/>
        <w:rPr>
          <w:rFonts w:ascii="Arial" w:hAnsi="Arial" w:cs="Arial"/>
          <w:lang w:val="es-CR"/>
        </w:rPr>
      </w:pPr>
      <w:r w:rsidRPr="0053276E">
        <w:rPr>
          <w:rFonts w:ascii="Arial" w:hAnsi="Arial" w:cs="Arial"/>
          <w:lang w:val="es-CR"/>
        </w:rPr>
        <w:t>Responder la consulta planteada por la Ing. Andrea Cavero Quesada, en el ejercicio de la Presidencia de la Junta de Relaciones Laborales, sobre Interpretación auténtica del inciso c), Artículo 22 del “Reglamento para Concursos de Antecedentes Internos y Externos del Personal del ITCR”, relacionado con el concepto de “voto emitido”, de la siguiente forma:</w:t>
      </w:r>
    </w:p>
    <w:p w:rsidR="0053276E" w:rsidRPr="0053276E" w:rsidRDefault="0053276E" w:rsidP="0053276E">
      <w:pPr>
        <w:ind w:right="-91"/>
        <w:jc w:val="both"/>
        <w:rPr>
          <w:rFonts w:ascii="Arial" w:hAnsi="Arial" w:cs="Arial"/>
          <w:sz w:val="16"/>
          <w:szCs w:val="16"/>
        </w:rPr>
      </w:pPr>
    </w:p>
    <w:p w:rsidR="0053276E" w:rsidRPr="0053276E" w:rsidRDefault="0053276E" w:rsidP="0053276E">
      <w:pPr>
        <w:autoSpaceDE w:val="0"/>
        <w:autoSpaceDN w:val="0"/>
        <w:adjustRightInd w:val="0"/>
        <w:ind w:left="426"/>
        <w:jc w:val="both"/>
        <w:rPr>
          <w:rFonts w:ascii="Arial" w:hAnsi="Arial" w:cs="Arial"/>
          <w:b/>
          <w:lang w:val="es-CR"/>
        </w:rPr>
      </w:pPr>
      <w:r w:rsidRPr="0053276E">
        <w:rPr>
          <w:rFonts w:ascii="Arial" w:hAnsi="Arial" w:cs="Arial"/>
          <w:b/>
          <w:lang w:val="es-CR"/>
        </w:rPr>
        <w:t>Interpretación Auténtica: inciso c), Artículo 22 del Reglamento para Concursos de antecedentes Internos y Externos del Personal del ITCR</w:t>
      </w:r>
    </w:p>
    <w:p w:rsidR="0053276E" w:rsidRPr="0053276E" w:rsidRDefault="0053276E" w:rsidP="0053276E">
      <w:pPr>
        <w:ind w:right="-91"/>
        <w:jc w:val="both"/>
        <w:rPr>
          <w:rFonts w:ascii="Arial" w:hAnsi="Arial" w:cs="Arial"/>
          <w:sz w:val="16"/>
          <w:szCs w:val="16"/>
        </w:rPr>
      </w:pPr>
    </w:p>
    <w:p w:rsidR="0053276E" w:rsidRPr="0053276E" w:rsidRDefault="0053276E" w:rsidP="0053276E">
      <w:pPr>
        <w:autoSpaceDE w:val="0"/>
        <w:autoSpaceDN w:val="0"/>
        <w:adjustRightInd w:val="0"/>
        <w:ind w:left="993" w:hanging="569"/>
        <w:jc w:val="both"/>
        <w:rPr>
          <w:rFonts w:ascii="Arial" w:hAnsi="Arial" w:cs="Arial"/>
          <w:lang w:val="es-CR"/>
        </w:rPr>
      </w:pPr>
      <w:r w:rsidRPr="0053276E">
        <w:rPr>
          <w:rFonts w:ascii="Arial" w:hAnsi="Arial" w:cs="Arial"/>
          <w:b/>
          <w:sz w:val="22"/>
          <w:szCs w:val="22"/>
          <w:lang w:val="es-CR"/>
        </w:rPr>
        <w:t>“a.1.</w:t>
      </w:r>
      <w:r w:rsidRPr="0053276E">
        <w:rPr>
          <w:rFonts w:ascii="Arial" w:hAnsi="Arial" w:cs="Arial"/>
          <w:lang w:val="es-CR"/>
        </w:rPr>
        <w:t xml:space="preserve">  En la aprobación </w:t>
      </w:r>
      <w:r w:rsidRPr="0053276E">
        <w:rPr>
          <w:rFonts w:ascii="Arial" w:hAnsi="Arial" w:cs="Arial"/>
          <w:lang w:val="es-ES_tradnl"/>
        </w:rPr>
        <w:t>de la propuesta de nombramiento todos los integrantes presentes, del Consejo de Escuela o Departamento, tendrán la obligación de emitir el voto, según las opciones que permita la reglamentación aplicable (favor, contra, blanco o nulo), razón por la que la cantidad de los miembros presentes deberá ser igual a la cantidad de votos emitidos.”</w:t>
      </w:r>
    </w:p>
    <w:p w:rsidR="0053276E" w:rsidRPr="0053276E" w:rsidRDefault="0053276E" w:rsidP="0053276E">
      <w:pPr>
        <w:ind w:right="-91"/>
        <w:jc w:val="both"/>
        <w:rPr>
          <w:rFonts w:ascii="Arial" w:hAnsi="Arial" w:cs="Arial"/>
          <w:sz w:val="16"/>
          <w:szCs w:val="16"/>
        </w:rPr>
      </w:pPr>
    </w:p>
    <w:p w:rsidR="0053276E" w:rsidRPr="0053276E" w:rsidRDefault="0053276E" w:rsidP="0053276E">
      <w:pPr>
        <w:autoSpaceDE w:val="0"/>
        <w:autoSpaceDN w:val="0"/>
        <w:adjustRightInd w:val="0"/>
        <w:ind w:left="993" w:hanging="569"/>
        <w:jc w:val="both"/>
        <w:rPr>
          <w:rFonts w:ascii="Arial" w:hAnsi="Arial" w:cs="Arial"/>
          <w:lang w:val="es-CR"/>
        </w:rPr>
      </w:pPr>
      <w:r w:rsidRPr="0053276E">
        <w:rPr>
          <w:rFonts w:ascii="Arial" w:hAnsi="Arial" w:cs="Arial"/>
          <w:b/>
          <w:sz w:val="22"/>
          <w:szCs w:val="22"/>
          <w:lang w:val="es-CR"/>
        </w:rPr>
        <w:t>“a.2.</w:t>
      </w:r>
      <w:r w:rsidRPr="0053276E">
        <w:rPr>
          <w:rFonts w:ascii="Arial" w:hAnsi="Arial" w:cs="Arial"/>
          <w:lang w:val="es-CR"/>
        </w:rPr>
        <w:t xml:space="preserve">  La expresión “más de la mitad de los votos emitidos”, en los casos en que el número de votos emitidos sea impar, se cumple cuando la “cantidad de votos obtenida por una persona concursante” es mayor o igual que “la mitad de la cantidad de votos emitidos, aumentada en 0.5”.  </w:t>
      </w:r>
    </w:p>
    <w:p w:rsidR="00672D32" w:rsidRDefault="00672D32" w:rsidP="00672D32">
      <w:pPr>
        <w:jc w:val="both"/>
        <w:rPr>
          <w:rFonts w:ascii="Arial" w:hAnsi="Arial" w:cs="Arial"/>
          <w:b/>
          <w:lang w:val="es-CR"/>
        </w:rPr>
      </w:pPr>
    </w:p>
    <w:p w:rsidR="00887FCC" w:rsidRDefault="002204D7" w:rsidP="0053276E">
      <w:pPr>
        <w:numPr>
          <w:ilvl w:val="0"/>
          <w:numId w:val="48"/>
        </w:numPr>
        <w:autoSpaceDE w:val="0"/>
        <w:autoSpaceDN w:val="0"/>
        <w:adjustRightInd w:val="0"/>
        <w:ind w:left="426"/>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1439E" w:rsidRDefault="0041439E" w:rsidP="0041439E">
      <w:pPr>
        <w:pStyle w:val="Prrafodelista"/>
        <w:rPr>
          <w:rFonts w:ascii="Arial" w:hAnsi="Arial" w:cs="Arial"/>
          <w:b/>
          <w:lang w:val="es-CR"/>
        </w:rPr>
      </w:pPr>
    </w:p>
    <w:p w:rsidR="0053276E" w:rsidRPr="0053276E" w:rsidRDefault="0053276E" w:rsidP="0053276E">
      <w:pPr>
        <w:ind w:right="-91"/>
        <w:jc w:val="both"/>
        <w:rPr>
          <w:rFonts w:ascii="Arial" w:hAnsi="Arial" w:cs="Arial"/>
          <w:b/>
          <w:sz w:val="22"/>
          <w:szCs w:val="22"/>
        </w:rPr>
      </w:pPr>
      <w:r w:rsidRPr="0053276E">
        <w:rPr>
          <w:rFonts w:ascii="Arial" w:hAnsi="Arial" w:cs="Arial"/>
          <w:b/>
          <w:sz w:val="22"/>
          <w:szCs w:val="22"/>
        </w:rPr>
        <w:t xml:space="preserve">Palabras clave:   Interpretación – auténtica - artículo 22 - Reglamento - </w:t>
      </w:r>
      <w:r w:rsidR="00EF4F44">
        <w:rPr>
          <w:rFonts w:ascii="Arial" w:hAnsi="Arial" w:cs="Arial"/>
          <w:b/>
          <w:sz w:val="22"/>
          <w:szCs w:val="22"/>
        </w:rPr>
        <w:t>C</w:t>
      </w:r>
      <w:r w:rsidRPr="0053276E">
        <w:rPr>
          <w:rFonts w:ascii="Arial" w:hAnsi="Arial" w:cs="Arial"/>
          <w:b/>
          <w:sz w:val="22"/>
          <w:szCs w:val="22"/>
        </w:rPr>
        <w:t xml:space="preserve">oncursos - </w:t>
      </w:r>
      <w:r w:rsidR="00EF4F44">
        <w:rPr>
          <w:rFonts w:ascii="Arial" w:hAnsi="Arial" w:cs="Arial"/>
          <w:b/>
          <w:sz w:val="22"/>
          <w:szCs w:val="22"/>
        </w:rPr>
        <w:t>A</w:t>
      </w:r>
      <w:bookmarkStart w:id="0" w:name="_GoBack"/>
      <w:bookmarkEnd w:id="0"/>
      <w:r w:rsidRPr="0053276E">
        <w:rPr>
          <w:rFonts w:ascii="Arial" w:hAnsi="Arial" w:cs="Arial"/>
          <w:b/>
          <w:sz w:val="22"/>
          <w:szCs w:val="22"/>
        </w:rPr>
        <w:t>ntecedentes  -internos - externos – personal - ITCR</w:t>
      </w:r>
    </w:p>
    <w:p w:rsidR="0041439E" w:rsidRPr="0053276E" w:rsidRDefault="0041439E" w:rsidP="0041439E">
      <w:pPr>
        <w:jc w:val="both"/>
        <w:rPr>
          <w:rFonts w:ascii="Arial" w:hAnsi="Arial" w:cs="Arial"/>
          <w:b/>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53276E" w:rsidTr="00E73562">
        <w:trPr>
          <w:trHeight w:val="183"/>
        </w:trPr>
        <w:tc>
          <w:tcPr>
            <w:tcW w:w="4361" w:type="dxa"/>
          </w:tcPr>
          <w:p w:rsidR="0053276E" w:rsidRDefault="0053276E"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53276E" w:rsidRDefault="0053276E"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53276E" w:rsidRDefault="0053276E"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53276E" w:rsidRDefault="0053276E"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53276E" w:rsidRDefault="0053276E"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53276E" w:rsidRDefault="0053276E"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53276E" w:rsidRDefault="0053276E"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53276E" w:rsidRDefault="0053276E"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53276E" w:rsidRDefault="0053276E" w:rsidP="00E73562">
            <w:pPr>
              <w:ind w:left="-567" w:firstLine="567"/>
              <w:jc w:val="both"/>
              <w:rPr>
                <w:rFonts w:ascii="Arial" w:eastAsia="Cambria" w:hAnsi="Arial" w:cs="Arial"/>
                <w:b/>
                <w:sz w:val="16"/>
                <w:szCs w:val="16"/>
                <w:lang w:val="es-ES_tradnl" w:eastAsia="en-US"/>
              </w:rPr>
            </w:pPr>
          </w:p>
          <w:p w:rsidR="0053276E" w:rsidRDefault="0053276E" w:rsidP="00E73562">
            <w:pPr>
              <w:ind w:left="-567" w:firstLine="567"/>
              <w:jc w:val="both"/>
              <w:rPr>
                <w:rFonts w:ascii="Arial" w:eastAsia="Cambria" w:hAnsi="Arial" w:cs="Arial"/>
                <w:b/>
                <w:sz w:val="16"/>
                <w:szCs w:val="16"/>
                <w:lang w:val="es-ES_tradnl" w:eastAsia="en-US"/>
              </w:rPr>
            </w:pPr>
          </w:p>
        </w:tc>
        <w:tc>
          <w:tcPr>
            <w:tcW w:w="4361" w:type="dxa"/>
          </w:tcPr>
          <w:p w:rsidR="0053276E" w:rsidRDefault="0053276E" w:rsidP="00E73562">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53276E" w:rsidRDefault="0053276E" w:rsidP="00E73562">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53276E" w:rsidRDefault="0053276E" w:rsidP="00E7356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53276E" w:rsidRDefault="0053276E" w:rsidP="00E7356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53276E" w:rsidRDefault="0053276E" w:rsidP="00E7356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53276E" w:rsidRDefault="0053276E" w:rsidP="00E73562">
            <w:pPr>
              <w:ind w:left="-567" w:firstLine="567"/>
              <w:jc w:val="both"/>
              <w:rPr>
                <w:rFonts w:ascii="Arial" w:eastAsia="Cambria" w:hAnsi="Arial" w:cs="Arial"/>
                <w:b/>
                <w:sz w:val="16"/>
                <w:szCs w:val="16"/>
                <w:lang w:val="es-ES_tradnl" w:eastAsia="en-US"/>
              </w:rPr>
            </w:pPr>
          </w:p>
          <w:p w:rsidR="0053276E" w:rsidRDefault="0053276E" w:rsidP="00E73562">
            <w:pPr>
              <w:jc w:val="both"/>
              <w:rPr>
                <w:rFonts w:ascii="Arial" w:eastAsia="Cambria" w:hAnsi="Arial" w:cs="Arial"/>
                <w:b/>
                <w:sz w:val="16"/>
                <w:szCs w:val="16"/>
                <w:lang w:val="es-ES_tradnl" w:eastAsia="en-US"/>
              </w:rPr>
            </w:pPr>
          </w:p>
          <w:p w:rsidR="0053276E" w:rsidRDefault="0053276E" w:rsidP="00E73562">
            <w:pPr>
              <w:rPr>
                <w:rFonts w:ascii="Arial" w:eastAsia="Cambria" w:hAnsi="Arial" w:cs="Arial"/>
                <w:b/>
                <w:sz w:val="16"/>
                <w:szCs w:val="16"/>
                <w:lang w:val="es-CR" w:eastAsia="en-US"/>
              </w:rPr>
            </w:pPr>
          </w:p>
        </w:tc>
        <w:tc>
          <w:tcPr>
            <w:tcW w:w="4361" w:type="dxa"/>
          </w:tcPr>
          <w:p w:rsidR="0053276E" w:rsidRDefault="0053276E" w:rsidP="00E73562">
            <w:pPr>
              <w:jc w:val="both"/>
              <w:rPr>
                <w:rFonts w:ascii="Arial" w:eastAsia="Cambria" w:hAnsi="Arial" w:cs="Arial"/>
                <w:b/>
                <w:sz w:val="16"/>
                <w:szCs w:val="16"/>
                <w:lang w:val="es-ES_tradnl" w:eastAsia="en-US"/>
              </w:rPr>
            </w:pPr>
          </w:p>
        </w:tc>
        <w:tc>
          <w:tcPr>
            <w:tcW w:w="5103" w:type="dxa"/>
          </w:tcPr>
          <w:p w:rsidR="0053276E" w:rsidRDefault="0053276E" w:rsidP="00E73562">
            <w:pPr>
              <w:jc w:val="both"/>
              <w:rPr>
                <w:rFonts w:ascii="Arial" w:eastAsia="Cambria" w:hAnsi="Arial" w:cs="Arial"/>
                <w:b/>
                <w:sz w:val="16"/>
                <w:szCs w:val="16"/>
                <w:lang w:val="es-ES_tradnl" w:eastAsia="en-US"/>
              </w:rPr>
            </w:pPr>
          </w:p>
        </w:tc>
      </w:tr>
    </w:tbl>
    <w:p w:rsidR="00F41044" w:rsidRPr="00F41044" w:rsidRDefault="0053276E" w:rsidP="0053276E">
      <w:pPr>
        <w:jc w:val="both"/>
        <w:rPr>
          <w:rFonts w:ascii="Arial" w:eastAsia="Cambria" w:hAnsi="Arial" w:cs="Arial"/>
          <w:sz w:val="22"/>
          <w:szCs w:val="22"/>
          <w:lang w:eastAsia="en-US"/>
        </w:rPr>
      </w:pPr>
      <w:proofErr w:type="spellStart"/>
      <w:r>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6CB" w:rsidRDefault="00C806CB">
      <w:r>
        <w:separator/>
      </w:r>
    </w:p>
  </w:endnote>
  <w:endnote w:type="continuationSeparator" w:id="0">
    <w:p w:rsidR="00C806CB" w:rsidRDefault="00C8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6CB" w:rsidRDefault="00C806CB">
      <w:r>
        <w:separator/>
      </w:r>
    </w:p>
  </w:footnote>
  <w:footnote w:type="continuationSeparator" w:id="0">
    <w:p w:rsidR="00C806CB" w:rsidRDefault="00C80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53276E">
      <w:rPr>
        <w:rFonts w:ascii="Arial" w:eastAsia="Cambria" w:hAnsi="Arial" w:cs="Arial"/>
        <w:i/>
        <w:sz w:val="18"/>
        <w:szCs w:val="18"/>
        <w:lang w:val="es-ES_tradnl" w:eastAsia="x-none"/>
      </w:rPr>
      <w:t>50</w:t>
    </w:r>
    <w:r w:rsidRPr="00D958BC">
      <w:rPr>
        <w:rFonts w:ascii="Arial" w:eastAsia="Cambria" w:hAnsi="Arial" w:cs="Arial"/>
        <w:i/>
        <w:sz w:val="18"/>
        <w:szCs w:val="18"/>
        <w:lang w:val="es-ES_tradnl" w:eastAsia="x-none"/>
      </w:rPr>
      <w:t xml:space="preserve">, Artículo </w:t>
    </w:r>
    <w:r w:rsidR="0041439E">
      <w:rPr>
        <w:rFonts w:ascii="Arial" w:eastAsia="Cambria" w:hAnsi="Arial" w:cs="Arial"/>
        <w:i/>
        <w:sz w:val="18"/>
        <w:szCs w:val="18"/>
        <w:lang w:val="es-ES_tradnl" w:eastAsia="x-none"/>
      </w:rPr>
      <w:t>1</w:t>
    </w:r>
    <w:r w:rsidR="0053276E">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3276E">
      <w:rPr>
        <w:rFonts w:ascii="Arial" w:eastAsia="Cambria" w:hAnsi="Arial" w:cs="Arial"/>
        <w:i/>
        <w:sz w:val="18"/>
        <w:szCs w:val="18"/>
        <w:lang w:val="es-ES_tradnl" w:eastAsia="x-none"/>
      </w:rPr>
      <w:t>06 d</w:t>
    </w:r>
    <w:r>
      <w:rPr>
        <w:rFonts w:ascii="Arial" w:eastAsia="Cambria" w:hAnsi="Arial" w:cs="Arial"/>
        <w:i/>
        <w:sz w:val="18"/>
        <w:szCs w:val="18"/>
        <w:lang w:val="es-ES_tradnl" w:eastAsia="x-none"/>
      </w:rPr>
      <w:t xml:space="preserve">e </w:t>
    </w:r>
    <w:r w:rsidR="0053276E">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F4F44">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114422AD"/>
    <w:multiLevelType w:val="hybridMultilevel"/>
    <w:tmpl w:val="F77AAD8C"/>
    <w:lvl w:ilvl="0" w:tplc="259AE804">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27D2700B"/>
    <w:multiLevelType w:val="hybridMultilevel"/>
    <w:tmpl w:val="7CB82A3E"/>
    <w:lvl w:ilvl="0" w:tplc="D6E0D174">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9F4300"/>
    <w:multiLevelType w:val="hybridMultilevel"/>
    <w:tmpl w:val="5D808AD2"/>
    <w:lvl w:ilvl="0" w:tplc="30C2D4E0">
      <w:start w:val="1"/>
      <w:numFmt w:val="decimal"/>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11A37BF"/>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E073358"/>
    <w:multiLevelType w:val="multilevel"/>
    <w:tmpl w:val="A2E819B4"/>
    <w:lvl w:ilvl="0">
      <w:start w:val="1"/>
      <w:numFmt w:val="lowerLetter"/>
      <w:lvlText w:val="%1."/>
      <w:lvlJc w:val="left"/>
      <w:pPr>
        <w:ind w:left="720" w:hanging="360"/>
      </w:pPr>
      <w:rPr>
        <w:b/>
        <w:i w:val="0"/>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9"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40B7AE8"/>
    <w:multiLevelType w:val="multilevel"/>
    <w:tmpl w:val="D1DC949E"/>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743764"/>
    <w:multiLevelType w:val="hybridMultilevel"/>
    <w:tmpl w:val="C8224794"/>
    <w:lvl w:ilvl="0" w:tplc="470AC0B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3"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595A188A"/>
    <w:multiLevelType w:val="hybridMultilevel"/>
    <w:tmpl w:val="28188732"/>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35" w15:restartNumberingAfterBreak="0">
    <w:nsid w:val="5AAD6999"/>
    <w:multiLevelType w:val="hybridMultilevel"/>
    <w:tmpl w:val="BBAEB060"/>
    <w:lvl w:ilvl="0" w:tplc="EB12AC24">
      <w:start w:val="1"/>
      <w:numFmt w:val="decimal"/>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69F707F6"/>
    <w:multiLevelType w:val="hybridMultilevel"/>
    <w:tmpl w:val="AFA6E4D2"/>
    <w:lvl w:ilvl="0" w:tplc="D298CCBC">
      <w:start w:val="1"/>
      <w:numFmt w:val="lowerLetter"/>
      <w:lvlText w:val="%1."/>
      <w:lvlJc w:val="left"/>
      <w:pPr>
        <w:ind w:left="784" w:hanging="360"/>
      </w:pPr>
      <w:rPr>
        <w:b/>
      </w:rPr>
    </w:lvl>
    <w:lvl w:ilvl="1" w:tplc="140A0019" w:tentative="1">
      <w:start w:val="1"/>
      <w:numFmt w:val="lowerLetter"/>
      <w:lvlText w:val="%2."/>
      <w:lvlJc w:val="left"/>
      <w:pPr>
        <w:ind w:left="1504" w:hanging="360"/>
      </w:pPr>
    </w:lvl>
    <w:lvl w:ilvl="2" w:tplc="140A001B" w:tentative="1">
      <w:start w:val="1"/>
      <w:numFmt w:val="lowerRoman"/>
      <w:lvlText w:val="%3."/>
      <w:lvlJc w:val="right"/>
      <w:pPr>
        <w:ind w:left="2224" w:hanging="180"/>
      </w:pPr>
    </w:lvl>
    <w:lvl w:ilvl="3" w:tplc="140A000F" w:tentative="1">
      <w:start w:val="1"/>
      <w:numFmt w:val="decimal"/>
      <w:lvlText w:val="%4."/>
      <w:lvlJc w:val="left"/>
      <w:pPr>
        <w:ind w:left="2944" w:hanging="360"/>
      </w:pPr>
    </w:lvl>
    <w:lvl w:ilvl="4" w:tplc="140A0019" w:tentative="1">
      <w:start w:val="1"/>
      <w:numFmt w:val="lowerLetter"/>
      <w:lvlText w:val="%5."/>
      <w:lvlJc w:val="left"/>
      <w:pPr>
        <w:ind w:left="3664" w:hanging="360"/>
      </w:pPr>
    </w:lvl>
    <w:lvl w:ilvl="5" w:tplc="140A001B" w:tentative="1">
      <w:start w:val="1"/>
      <w:numFmt w:val="lowerRoman"/>
      <w:lvlText w:val="%6."/>
      <w:lvlJc w:val="right"/>
      <w:pPr>
        <w:ind w:left="4384" w:hanging="180"/>
      </w:pPr>
    </w:lvl>
    <w:lvl w:ilvl="6" w:tplc="140A000F" w:tentative="1">
      <w:start w:val="1"/>
      <w:numFmt w:val="decimal"/>
      <w:lvlText w:val="%7."/>
      <w:lvlJc w:val="left"/>
      <w:pPr>
        <w:ind w:left="5104" w:hanging="360"/>
      </w:pPr>
    </w:lvl>
    <w:lvl w:ilvl="7" w:tplc="140A0019" w:tentative="1">
      <w:start w:val="1"/>
      <w:numFmt w:val="lowerLetter"/>
      <w:lvlText w:val="%8."/>
      <w:lvlJc w:val="left"/>
      <w:pPr>
        <w:ind w:left="5824" w:hanging="360"/>
      </w:pPr>
    </w:lvl>
    <w:lvl w:ilvl="8" w:tplc="140A001B" w:tentative="1">
      <w:start w:val="1"/>
      <w:numFmt w:val="lowerRoman"/>
      <w:lvlText w:val="%9."/>
      <w:lvlJc w:val="right"/>
      <w:pPr>
        <w:ind w:left="6544" w:hanging="180"/>
      </w:pPr>
    </w:lvl>
  </w:abstractNum>
  <w:abstractNum w:abstractNumId="37"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9"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0"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0CC030D"/>
    <w:multiLevelType w:val="multilevel"/>
    <w:tmpl w:val="34560DC2"/>
    <w:lvl w:ilvl="0">
      <w:start w:val="1"/>
      <w:numFmt w:val="decimal"/>
      <w:lvlText w:val="%1."/>
      <w:lvlJc w:val="left"/>
      <w:pPr>
        <w:ind w:left="360" w:hanging="360"/>
      </w:pPr>
      <w:rPr>
        <w:b/>
        <w:color w:val="FF0000"/>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42"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7EFE2FA0"/>
    <w:multiLevelType w:val="multilevel"/>
    <w:tmpl w:val="926EFD78"/>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7"/>
  </w:num>
  <w:num w:numId="3">
    <w:abstractNumId w:val="26"/>
  </w:num>
  <w:num w:numId="4">
    <w:abstractNumId w:val="2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9"/>
  </w:num>
  <w:num w:numId="9">
    <w:abstractNumId w:val="24"/>
  </w:num>
  <w:num w:numId="10">
    <w:abstractNumId w:val="39"/>
  </w:num>
  <w:num w:numId="11">
    <w:abstractNumId w:val="5"/>
  </w:num>
  <w:num w:numId="12">
    <w:abstractNumId w:val="14"/>
  </w:num>
  <w:num w:numId="13">
    <w:abstractNumId w:val="10"/>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3"/>
  </w:num>
  <w:num w:numId="17">
    <w:abstractNumId w:val="38"/>
  </w:num>
  <w:num w:numId="18">
    <w:abstractNumId w:val="37"/>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4"/>
  </w:num>
  <w:num w:numId="22">
    <w:abstractNumId w:val="1"/>
  </w:num>
  <w:num w:numId="23">
    <w:abstractNumId w:val="9"/>
  </w:num>
  <w:num w:numId="24">
    <w:abstractNumId w:val="19"/>
  </w:num>
  <w:num w:numId="25">
    <w:abstractNumId w:val="0"/>
  </w:num>
  <w:num w:numId="26">
    <w:abstractNumId w:val="11"/>
  </w:num>
  <w:num w:numId="27">
    <w:abstractNumId w:val="40"/>
  </w:num>
  <w:num w:numId="28">
    <w:abstractNumId w:val="25"/>
  </w:num>
  <w:num w:numId="29">
    <w:abstractNumId w:val="33"/>
  </w:num>
  <w:num w:numId="30">
    <w:abstractNumId w:val="2"/>
  </w:num>
  <w:num w:numId="31">
    <w:abstractNumId w:val="45"/>
  </w:num>
  <w:num w:numId="32">
    <w:abstractNumId w:val="28"/>
  </w:num>
  <w:num w:numId="33">
    <w:abstractNumId w:val="16"/>
  </w:num>
  <w:num w:numId="34">
    <w:abstractNumId w:val="22"/>
  </w:num>
  <w:num w:numId="35">
    <w:abstractNumId w:val="3"/>
  </w:num>
  <w:num w:numId="36">
    <w:abstractNumId w:val="15"/>
  </w:num>
  <w:num w:numId="37">
    <w:abstractNumId w:val="13"/>
  </w:num>
  <w:num w:numId="38">
    <w:abstractNumId w:val="41"/>
  </w:num>
  <w:num w:numId="39">
    <w:abstractNumId w:val="7"/>
  </w:num>
  <w:num w:numId="40">
    <w:abstractNumId w:val="31"/>
  </w:num>
  <w:num w:numId="41">
    <w:abstractNumId w:val="34"/>
  </w:num>
  <w:num w:numId="42">
    <w:abstractNumId w:val="35"/>
  </w:num>
  <w:num w:numId="43">
    <w:abstractNumId w:val="46"/>
  </w:num>
  <w:num w:numId="44">
    <w:abstractNumId w:val="21"/>
  </w:num>
  <w:num w:numId="45">
    <w:abstractNumId w:val="27"/>
  </w:num>
  <w:num w:numId="46">
    <w:abstractNumId w:val="12"/>
  </w:num>
  <w:num w:numId="47">
    <w:abstractNumId w:val="30"/>
  </w:num>
  <w:num w:numId="4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798"/>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276E"/>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C5A0A"/>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34AC"/>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06CB"/>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2986"/>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E6724"/>
    <w:rsid w:val="00EF12D0"/>
    <w:rsid w:val="00EF2547"/>
    <w:rsid w:val="00EF4F44"/>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13F9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A0AE-DD73-49C5-AEC4-AED6FEC3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3</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192</cp:revision>
  <cp:lastPrinted>2017-12-07T14:28:00Z</cp:lastPrinted>
  <dcterms:created xsi:type="dcterms:W3CDTF">2016-10-05T20:00:00Z</dcterms:created>
  <dcterms:modified xsi:type="dcterms:W3CDTF">2017-12-07T14:29:00Z</dcterms:modified>
</cp:coreProperties>
</file>