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F1E98">
        <w:rPr>
          <w:rFonts w:ascii="Arial" w:hAnsi="Arial" w:cs="Arial"/>
          <w:b/>
          <w:bCs/>
          <w:iCs/>
          <w:sz w:val="26"/>
          <w:szCs w:val="22"/>
          <w:lang w:val="es-CR"/>
        </w:rPr>
        <w:t>916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EF1E98" w:rsidRPr="009332DA" w:rsidRDefault="00EF1E9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M.D. Laura Sancho</w:t>
            </w:r>
            <w:r w:rsidRPr="009332DA">
              <w:rPr>
                <w:rFonts w:ascii="Arial" w:eastAsia="Cambria" w:hAnsi="Arial" w:cs="Arial"/>
                <w:sz w:val="20"/>
                <w:szCs w:val="20"/>
                <w:lang w:val="es-ES_tradnl" w:eastAsia="en-US"/>
              </w:rPr>
              <w:t>, Vicerrector</w:t>
            </w:r>
            <w:r>
              <w:rPr>
                <w:rFonts w:ascii="Arial" w:eastAsia="Cambria" w:hAnsi="Arial" w:cs="Arial"/>
                <w:sz w:val="20"/>
                <w:szCs w:val="20"/>
                <w:lang w:val="es-ES_tradnl" w:eastAsia="en-US"/>
              </w:rPr>
              <w:t xml:space="preserve">a </w:t>
            </w:r>
            <w:proofErr w:type="spellStart"/>
            <w:r>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de Docencia</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EF1E98" w:rsidRPr="009332DA" w:rsidRDefault="00EF1E98" w:rsidP="00EF1E98">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EF1E98" w:rsidRPr="009332DA" w:rsidRDefault="00EF1E9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EF1E98"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194C18" w:rsidRPr="009332DA" w:rsidRDefault="00194C18" w:rsidP="00EF1E98">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Licda. Silvia Watson, Directora del Departamento Financiero Contable</w:t>
            </w:r>
            <w:bookmarkStart w:id="0" w:name="_GoBack"/>
            <w:bookmarkEnd w:id="0"/>
          </w:p>
          <w:p w:rsidR="00793F58" w:rsidRPr="000F473C" w:rsidRDefault="00793F58" w:rsidP="007F28ED">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7F28E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28ED" w:rsidRDefault="007742A1" w:rsidP="007F28ED">
            <w:pPr>
              <w:pStyle w:val="Prrafodelista"/>
              <w:ind w:left="-31"/>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EF1E98">
              <w:rPr>
                <w:rFonts w:ascii="Arial" w:eastAsia="Calibri" w:hAnsi="Arial" w:cs="Arial"/>
                <w:b/>
                <w:sz w:val="22"/>
                <w:szCs w:val="22"/>
              </w:rPr>
              <w:t>5</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7F28ED">
              <w:rPr>
                <w:rFonts w:ascii="Arial" w:eastAsia="Calibri" w:hAnsi="Arial" w:cs="Arial"/>
                <w:b/>
                <w:sz w:val="22"/>
                <w:szCs w:val="22"/>
              </w:rPr>
              <w:t>06</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194C18" w:rsidRPr="00194C18">
              <w:rPr>
                <w:rFonts w:ascii="Arial" w:hAnsi="Arial" w:cs="Arial"/>
                <w:b/>
                <w:bCs/>
              </w:rPr>
              <w:t>Autorizar a la Administración a realizar los ajustes respectivos en el caso de la aprobación parcial del presupuesto inicial del período 2018, por parte de la Contraloría General de la República</w:t>
            </w:r>
          </w:p>
          <w:p w:rsidR="007F28ED" w:rsidRPr="007F1052" w:rsidRDefault="007F28ED" w:rsidP="007F28ED">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EF1E98" w:rsidRPr="00EF1E98" w:rsidRDefault="00EF1E98" w:rsidP="00EF1E98">
      <w:pPr>
        <w:rPr>
          <w:rFonts w:ascii="Arial" w:hAnsi="Arial" w:cs="Arial"/>
          <w:b/>
        </w:rPr>
      </w:pPr>
      <w:r w:rsidRPr="00EF1E98">
        <w:rPr>
          <w:rFonts w:ascii="Arial" w:hAnsi="Arial" w:cs="Arial"/>
          <w:b/>
        </w:rPr>
        <w:t>RESULTANDO QUE:</w:t>
      </w:r>
    </w:p>
    <w:p w:rsidR="00EF1E98" w:rsidRPr="00EF1E98" w:rsidRDefault="00EF1E98" w:rsidP="00EF1E98">
      <w:pPr>
        <w:rPr>
          <w:rFonts w:ascii="Arial" w:hAnsi="Arial" w:cs="Arial"/>
          <w:b/>
        </w:rPr>
      </w:pPr>
    </w:p>
    <w:p w:rsidR="00EF1E98" w:rsidRPr="00EF1E98" w:rsidRDefault="00EF1E98" w:rsidP="00EF1E98">
      <w:pPr>
        <w:numPr>
          <w:ilvl w:val="0"/>
          <w:numId w:val="47"/>
        </w:numPr>
        <w:jc w:val="both"/>
        <w:rPr>
          <w:rFonts w:ascii="Arial" w:eastAsia="Arial Unicode MS" w:hAnsi="Arial" w:cs="Arial"/>
        </w:rPr>
      </w:pPr>
      <w:r w:rsidRPr="00EF1E98">
        <w:rPr>
          <w:rFonts w:ascii="Arial" w:eastAsia="Arial Unicode MS" w:hAnsi="Arial" w:cs="Arial"/>
        </w:rPr>
        <w:t>El Artículo 18, del Estatuto Orgánico, dispone:</w:t>
      </w:r>
    </w:p>
    <w:p w:rsidR="00EF1E98" w:rsidRPr="00EF1E98" w:rsidRDefault="00EF1E98" w:rsidP="00EF1E98">
      <w:pPr>
        <w:jc w:val="both"/>
        <w:rPr>
          <w:rFonts w:ascii="Arial" w:eastAsia="Calibri" w:hAnsi="Arial" w:cs="Arial"/>
          <w:b/>
          <w:i/>
          <w:sz w:val="16"/>
          <w:szCs w:val="20"/>
        </w:rPr>
      </w:pPr>
    </w:p>
    <w:p w:rsidR="00EF1E98" w:rsidRPr="00EF1E98" w:rsidRDefault="00EF1E98" w:rsidP="00EF1E98">
      <w:pPr>
        <w:ind w:left="720" w:right="417"/>
        <w:jc w:val="both"/>
        <w:rPr>
          <w:rFonts w:ascii="Arial" w:hAnsi="Arial" w:cs="Arial"/>
          <w:sz w:val="21"/>
          <w:szCs w:val="21"/>
          <w:lang w:eastAsia="es-CR"/>
        </w:rPr>
      </w:pPr>
      <w:r w:rsidRPr="00EF1E98">
        <w:rPr>
          <w:rFonts w:ascii="Arial" w:hAnsi="Arial" w:cs="Arial"/>
          <w:i/>
          <w:sz w:val="21"/>
          <w:szCs w:val="21"/>
          <w:lang w:eastAsia="es-CR"/>
        </w:rPr>
        <w:t xml:space="preserve">“Son funciones del Consejo Institucional: </w:t>
      </w:r>
    </w:p>
    <w:p w:rsidR="00EF1E98" w:rsidRPr="00EF1E98" w:rsidRDefault="00EF1E98" w:rsidP="00EF1E98">
      <w:pPr>
        <w:ind w:left="720" w:right="417"/>
        <w:jc w:val="both"/>
        <w:rPr>
          <w:rFonts w:ascii="Arial" w:hAnsi="Arial" w:cs="Arial"/>
          <w:sz w:val="21"/>
          <w:szCs w:val="21"/>
          <w:lang w:eastAsia="es-CR"/>
        </w:rPr>
      </w:pPr>
      <w:r w:rsidRPr="00EF1E98">
        <w:rPr>
          <w:rFonts w:ascii="Arial" w:hAnsi="Arial" w:cs="Arial"/>
          <w:i/>
          <w:sz w:val="21"/>
          <w:szCs w:val="21"/>
          <w:lang w:eastAsia="es-CR"/>
        </w:rPr>
        <w:t xml:space="preserve">… </w:t>
      </w:r>
    </w:p>
    <w:p w:rsidR="00EF1E98" w:rsidRPr="00EF1E98" w:rsidRDefault="00EF1E98" w:rsidP="00EF1E98">
      <w:pPr>
        <w:ind w:left="1022" w:right="417" w:hanging="302"/>
        <w:jc w:val="both"/>
        <w:rPr>
          <w:rFonts w:ascii="Arial" w:hAnsi="Arial" w:cs="Arial"/>
          <w:sz w:val="21"/>
          <w:szCs w:val="21"/>
          <w:lang w:eastAsia="es-CR"/>
        </w:rPr>
      </w:pPr>
      <w:r w:rsidRPr="00EF1E98">
        <w:rPr>
          <w:rFonts w:ascii="Arial" w:hAnsi="Arial" w:cs="Arial"/>
          <w:i/>
          <w:sz w:val="21"/>
          <w:szCs w:val="21"/>
          <w:lang w:eastAsia="es-CR"/>
        </w:rPr>
        <w:t xml:space="preserve">b. Aprobar el Plan estratégico institucional y los Planes anuales operativos, el presupuesto del Instituto, y los indicadores de gestión, de acuerdo con lo establecido en el Estatuto Orgánico y en la reglamentación </w:t>
      </w:r>
      <w:proofErr w:type="gramStart"/>
      <w:r w:rsidRPr="00EF1E98">
        <w:rPr>
          <w:rFonts w:ascii="Arial" w:hAnsi="Arial" w:cs="Arial"/>
          <w:i/>
          <w:sz w:val="21"/>
          <w:szCs w:val="21"/>
          <w:lang w:eastAsia="es-CR"/>
        </w:rPr>
        <w:t>respectiva”…</w:t>
      </w:r>
      <w:proofErr w:type="gramEnd"/>
    </w:p>
    <w:p w:rsidR="00EF1E98" w:rsidRPr="00EF1E98" w:rsidRDefault="00EF1E98" w:rsidP="00EF1E98">
      <w:pPr>
        <w:rPr>
          <w:rFonts w:ascii="Arial" w:hAnsi="Arial" w:cs="Arial"/>
          <w:b/>
        </w:rPr>
      </w:pPr>
    </w:p>
    <w:p w:rsidR="00EF1E98" w:rsidRPr="00EF1E98" w:rsidRDefault="00EF1E98" w:rsidP="00EF1E98">
      <w:pPr>
        <w:numPr>
          <w:ilvl w:val="0"/>
          <w:numId w:val="47"/>
        </w:numPr>
        <w:jc w:val="both"/>
        <w:rPr>
          <w:rFonts w:ascii="Arial Unicode MS" w:eastAsia="Arial Unicode MS" w:hAnsi="Arial Unicode MS" w:cs="Arial Unicode MS"/>
          <w:i/>
          <w:sz w:val="16"/>
          <w:szCs w:val="20"/>
        </w:rPr>
      </w:pPr>
      <w:r w:rsidRPr="00EF1E98">
        <w:rPr>
          <w:rFonts w:ascii="Arial" w:eastAsia="Arial Unicode MS" w:hAnsi="Arial" w:cs="Arial"/>
          <w:i/>
        </w:rPr>
        <w:t>El Consejo Institucional en la Sesión Ordinaria No. 3017, Artículo 10, del 05 de abril de 2017, referido a la Modificación Artículos 2 y 6 del Reglamento para la aplicación de Modificaciones Presupuestarias en el ITCR</w:t>
      </w:r>
      <w:r w:rsidRPr="00EF1E98">
        <w:rPr>
          <w:rFonts w:ascii="Arial" w:eastAsia="Calibri" w:hAnsi="Arial" w:cs="Arial"/>
          <w:i/>
        </w:rPr>
        <w:t xml:space="preserve">, aprobó en su inciso b lo siguiente: </w:t>
      </w:r>
    </w:p>
    <w:p w:rsidR="00EF1E98" w:rsidRPr="00EF1E98" w:rsidRDefault="00EF1E98" w:rsidP="00EF1E98">
      <w:pPr>
        <w:ind w:left="286"/>
        <w:jc w:val="both"/>
        <w:rPr>
          <w:rFonts w:ascii="Arial Unicode MS" w:eastAsia="Arial Unicode MS" w:hAnsi="Arial Unicode MS" w:cs="Arial Unicode MS"/>
          <w:i/>
          <w:sz w:val="16"/>
          <w:szCs w:val="20"/>
        </w:rPr>
      </w:pPr>
    </w:p>
    <w:p w:rsidR="00EF1E98" w:rsidRPr="00EF1E98" w:rsidRDefault="00EF1E98" w:rsidP="00EF1E98">
      <w:pPr>
        <w:ind w:left="851" w:right="-91"/>
        <w:jc w:val="both"/>
        <w:rPr>
          <w:rFonts w:ascii="Arial" w:hAnsi="Arial" w:cs="Arial"/>
          <w:i/>
          <w:sz w:val="21"/>
          <w:szCs w:val="21"/>
          <w:lang w:eastAsia="es-CR"/>
        </w:rPr>
      </w:pPr>
      <w:r w:rsidRPr="00EF1E98">
        <w:rPr>
          <w:rFonts w:ascii="Arial" w:hAnsi="Arial" w:cs="Arial"/>
          <w:i/>
          <w:sz w:val="21"/>
          <w:szCs w:val="21"/>
          <w:lang w:eastAsia="es-CR"/>
        </w:rPr>
        <w:t>“…</w:t>
      </w:r>
    </w:p>
    <w:p w:rsidR="00EF1E98" w:rsidRPr="00EF1E98" w:rsidRDefault="00EF1E98" w:rsidP="00EF1E98">
      <w:pPr>
        <w:ind w:left="851" w:right="-91"/>
        <w:jc w:val="both"/>
        <w:rPr>
          <w:rFonts w:ascii="Arial" w:hAnsi="Arial" w:cs="Arial"/>
          <w:i/>
          <w:sz w:val="21"/>
          <w:szCs w:val="21"/>
          <w:lang w:eastAsia="es-CR"/>
        </w:rPr>
      </w:pPr>
    </w:p>
    <w:p w:rsidR="00EF1E98" w:rsidRPr="00EF1E98" w:rsidRDefault="00EF1E98" w:rsidP="00EF1E98">
      <w:pPr>
        <w:ind w:left="1134" w:right="566" w:hanging="283"/>
        <w:jc w:val="both"/>
        <w:rPr>
          <w:rFonts w:ascii="Arial" w:eastAsia="Calibri" w:hAnsi="Arial" w:cs="Arial"/>
          <w:bCs/>
          <w:i/>
          <w:sz w:val="21"/>
          <w:szCs w:val="21"/>
        </w:rPr>
      </w:pPr>
      <w:r w:rsidRPr="00EF1E98">
        <w:rPr>
          <w:rFonts w:ascii="Arial" w:hAnsi="Arial" w:cs="Arial"/>
          <w:b/>
          <w:i/>
          <w:sz w:val="21"/>
          <w:szCs w:val="21"/>
          <w:lang w:eastAsia="es-CR"/>
        </w:rPr>
        <w:t>b.</w:t>
      </w:r>
      <w:r w:rsidRPr="00EF1E98">
        <w:rPr>
          <w:rFonts w:ascii="Arial" w:hAnsi="Arial" w:cs="Arial"/>
          <w:i/>
          <w:sz w:val="21"/>
          <w:szCs w:val="21"/>
          <w:lang w:eastAsia="es-CR"/>
        </w:rPr>
        <w:t xml:space="preserve"> </w:t>
      </w:r>
      <w:r w:rsidRPr="00EF1E98">
        <w:rPr>
          <w:rFonts w:ascii="Arial" w:hAnsi="Arial" w:cs="Arial"/>
          <w:i/>
          <w:sz w:val="21"/>
          <w:szCs w:val="21"/>
          <w:lang w:eastAsia="es-CR"/>
        </w:rPr>
        <w:tab/>
        <w:t>Modificar el Artículo 6 del Reglamento para la Aplicación de Modificaciones Presupuestarias en el ITCR, para se lea de la siguiente manera</w:t>
      </w:r>
      <w:r w:rsidRPr="00EF1E98">
        <w:rPr>
          <w:rFonts w:ascii="Arial" w:eastAsia="Calibri" w:hAnsi="Arial" w:cs="Arial"/>
          <w:bCs/>
          <w:i/>
          <w:sz w:val="21"/>
          <w:szCs w:val="21"/>
        </w:rPr>
        <w:t>:</w:t>
      </w:r>
    </w:p>
    <w:p w:rsidR="00EF1E98" w:rsidRPr="00EF1E98" w:rsidRDefault="00EF1E98" w:rsidP="00EF1E98">
      <w:pPr>
        <w:ind w:left="1134" w:right="566" w:hanging="283"/>
        <w:jc w:val="both"/>
        <w:rPr>
          <w:rFonts w:ascii="Arial" w:hAnsi="Arial" w:cs="Arial"/>
          <w:i/>
          <w:sz w:val="21"/>
          <w:szCs w:val="21"/>
          <w:lang w:eastAsia="es-CR"/>
        </w:rPr>
      </w:pPr>
    </w:p>
    <w:p w:rsidR="00EF1E98" w:rsidRPr="00EF1E98" w:rsidRDefault="00EF1E98" w:rsidP="00EF1E98">
      <w:pPr>
        <w:ind w:left="851" w:right="566"/>
        <w:jc w:val="both"/>
        <w:rPr>
          <w:rFonts w:ascii="Arial" w:hAnsi="Arial" w:cs="Arial"/>
          <w:i/>
          <w:sz w:val="21"/>
          <w:szCs w:val="21"/>
        </w:rPr>
      </w:pPr>
      <w:r w:rsidRPr="00EF1E98">
        <w:rPr>
          <w:rFonts w:ascii="Arial" w:hAnsi="Arial" w:cs="Arial"/>
          <w:i/>
          <w:sz w:val="21"/>
          <w:szCs w:val="21"/>
        </w:rPr>
        <w:t xml:space="preserve">“Artículo 6 </w:t>
      </w:r>
    </w:p>
    <w:p w:rsidR="00EF1E98" w:rsidRPr="00EF1E98" w:rsidRDefault="00EF1E98" w:rsidP="00EF1E98">
      <w:pPr>
        <w:ind w:left="851" w:right="566"/>
        <w:jc w:val="both"/>
        <w:rPr>
          <w:rFonts w:ascii="Arial" w:hAnsi="Arial" w:cs="Arial"/>
          <w:i/>
          <w:sz w:val="21"/>
          <w:szCs w:val="21"/>
        </w:rPr>
      </w:pPr>
    </w:p>
    <w:p w:rsidR="00EF1E98" w:rsidRPr="00EF1E98" w:rsidRDefault="00EF1E98" w:rsidP="00EF1E98">
      <w:pPr>
        <w:ind w:left="851" w:right="566"/>
        <w:jc w:val="both"/>
        <w:rPr>
          <w:rFonts w:ascii="Arial" w:hAnsi="Arial" w:cs="Arial"/>
          <w:i/>
          <w:color w:val="404040"/>
          <w:sz w:val="21"/>
          <w:szCs w:val="21"/>
        </w:rPr>
      </w:pPr>
      <w:r w:rsidRPr="00EF1E98">
        <w:rPr>
          <w:rFonts w:ascii="Arial" w:hAnsi="Arial" w:cs="Arial"/>
          <w:i/>
          <w:color w:val="404040"/>
          <w:sz w:val="21"/>
          <w:szCs w:val="21"/>
        </w:rPr>
        <w:t>Los encargados de las unidades ejecutoras tramitarán las solicitudes de modificación al presupuesto, las cuales deben ser aprobadas por el encargado del programa, siempre que no impliquen variaciones al Plan Anual Operativo,</w:t>
      </w:r>
      <w:r w:rsidRPr="00EF1E98">
        <w:rPr>
          <w:rFonts w:ascii="Arial" w:hAnsi="Arial" w:cs="Arial"/>
          <w:i/>
          <w:color w:val="2E75B6"/>
          <w:sz w:val="21"/>
          <w:szCs w:val="21"/>
        </w:rPr>
        <w:t xml:space="preserve"> </w:t>
      </w:r>
      <w:r w:rsidRPr="00EF1E98">
        <w:rPr>
          <w:rFonts w:ascii="Arial" w:hAnsi="Arial" w:cs="Arial"/>
          <w:b/>
          <w:bCs/>
          <w:i/>
          <w:sz w:val="21"/>
          <w:szCs w:val="21"/>
        </w:rPr>
        <w:t xml:space="preserve">a acuerdos del Consejo Institucional en los que se defina el objetivo de los fondos </w:t>
      </w:r>
      <w:r w:rsidRPr="00EF1E98">
        <w:rPr>
          <w:rFonts w:ascii="Arial" w:hAnsi="Arial" w:cs="Arial"/>
          <w:bCs/>
          <w:i/>
          <w:sz w:val="21"/>
          <w:szCs w:val="21"/>
        </w:rPr>
        <w:t xml:space="preserve">o se disminuya el contenido presupuestario de las partidas de Fondos </w:t>
      </w:r>
      <w:r w:rsidRPr="00EF1E98">
        <w:rPr>
          <w:rFonts w:ascii="Arial" w:hAnsi="Arial" w:cs="Arial"/>
          <w:bCs/>
          <w:i/>
          <w:sz w:val="21"/>
          <w:szCs w:val="21"/>
        </w:rPr>
        <w:lastRenderedPageBreak/>
        <w:t>Restringidos o de la partida cuentas especiales.</w:t>
      </w:r>
      <w:r w:rsidRPr="00EF1E98">
        <w:rPr>
          <w:rFonts w:ascii="Arial" w:hAnsi="Arial" w:cs="Arial"/>
          <w:i/>
          <w:sz w:val="21"/>
          <w:szCs w:val="21"/>
        </w:rPr>
        <w:t xml:space="preserve">  En caso contrario dichas solicitudes deberán ser analizadas y aprobadas </w:t>
      </w:r>
      <w:r w:rsidRPr="00EF1E98">
        <w:rPr>
          <w:rFonts w:ascii="Arial" w:hAnsi="Arial" w:cs="Arial"/>
          <w:i/>
          <w:color w:val="404040"/>
          <w:sz w:val="21"/>
          <w:szCs w:val="21"/>
        </w:rPr>
        <w:t>por el Consejo Institucional, con excepción de lo indicado en el Artículo 7 de este Reglamento.”</w:t>
      </w:r>
    </w:p>
    <w:p w:rsidR="00EF1E98" w:rsidRPr="00EF1E98" w:rsidRDefault="00EF1E98" w:rsidP="00EF1E98">
      <w:pPr>
        <w:jc w:val="both"/>
        <w:rPr>
          <w:rFonts w:ascii="Arial Unicode MS" w:eastAsia="Arial Unicode MS" w:hAnsi="Arial Unicode MS" w:cs="Arial Unicode MS"/>
          <w:i/>
          <w:sz w:val="16"/>
          <w:szCs w:val="20"/>
        </w:rPr>
      </w:pPr>
    </w:p>
    <w:p w:rsidR="00EF1E98" w:rsidRPr="00EF1E98" w:rsidRDefault="00EF1E98" w:rsidP="00EF1E98">
      <w:pPr>
        <w:numPr>
          <w:ilvl w:val="0"/>
          <w:numId w:val="47"/>
        </w:numPr>
        <w:jc w:val="both"/>
        <w:rPr>
          <w:rFonts w:ascii="Arial" w:eastAsia="Arial Unicode MS" w:hAnsi="Arial" w:cs="Arial"/>
        </w:rPr>
      </w:pPr>
      <w:r w:rsidRPr="00EF1E98">
        <w:rPr>
          <w:rFonts w:ascii="Arial" w:eastAsia="Arial Unicode MS" w:hAnsi="Arial" w:cs="Arial"/>
          <w:i/>
        </w:rPr>
        <w:t>El Consejo Institucional en la Sesión Ordinaria No. 3040, Artículo 10, del 28 de setiembre de 2017, aprobó el Presupuesto Ordinario 2018 y Vinculación con el Plan Anual Operativo 2018</w:t>
      </w:r>
      <w:r w:rsidRPr="00EF1E98">
        <w:rPr>
          <w:rFonts w:ascii="Arial" w:eastAsia="Arial Unicode MS" w:hAnsi="Arial" w:cs="Arial"/>
          <w:b/>
          <w:i/>
        </w:rPr>
        <w:t xml:space="preserve">, </w:t>
      </w:r>
      <w:r w:rsidRPr="00EF1E98">
        <w:rPr>
          <w:rFonts w:ascii="Arial" w:eastAsia="Arial Unicode MS" w:hAnsi="Arial" w:cs="Arial"/>
          <w:i/>
        </w:rPr>
        <w:t xml:space="preserve">el cual en </w:t>
      </w:r>
      <w:proofErr w:type="gramStart"/>
      <w:r w:rsidRPr="00EF1E98">
        <w:rPr>
          <w:rFonts w:ascii="Arial" w:eastAsia="Arial Unicode MS" w:hAnsi="Arial" w:cs="Arial"/>
          <w:i/>
        </w:rPr>
        <w:t>su  inciso</w:t>
      </w:r>
      <w:proofErr w:type="gramEnd"/>
      <w:r w:rsidRPr="00EF1E98">
        <w:rPr>
          <w:rFonts w:ascii="Arial" w:eastAsia="Arial Unicode MS" w:hAnsi="Arial" w:cs="Arial"/>
          <w:i/>
        </w:rPr>
        <w:t xml:space="preserve"> b, aprueba el presupuesto ordinario por un monto de </w:t>
      </w:r>
      <w:r w:rsidRPr="00EF1E98">
        <w:rPr>
          <w:rFonts w:ascii="Arial" w:hAnsi="Arial" w:cs="Arial"/>
          <w:i/>
        </w:rPr>
        <w:t>¢</w:t>
      </w:r>
      <w:r w:rsidRPr="00EF1E98">
        <w:rPr>
          <w:rFonts w:ascii="Arial" w:hAnsi="Arial" w:cs="Arial"/>
          <w:i/>
          <w:color w:val="000000"/>
        </w:rPr>
        <w:t xml:space="preserve"> </w:t>
      </w:r>
      <w:r w:rsidRPr="00EF1E98">
        <w:rPr>
          <w:rFonts w:ascii="Arial" w:hAnsi="Arial" w:cs="Arial"/>
          <w:i/>
        </w:rPr>
        <w:t>77.511.163.886  (Setenta y siete mil quinientos once millones ciento sesenta y tres mil ochocientos ochenta y seis colones)</w:t>
      </w:r>
      <w:r w:rsidRPr="00EF1E98">
        <w:rPr>
          <w:rFonts w:ascii="Arial" w:eastAsia="Arial Unicode MS" w:hAnsi="Arial" w:cs="Arial"/>
          <w:i/>
        </w:rPr>
        <w:t xml:space="preserve">, tal y como se detalla a continuación: </w:t>
      </w:r>
    </w:p>
    <w:p w:rsidR="00EF1E98" w:rsidRPr="00EF1E98" w:rsidRDefault="00EF1E98" w:rsidP="00EF1E98">
      <w:pPr>
        <w:jc w:val="both"/>
        <w:rPr>
          <w:rFonts w:ascii="Arial Unicode MS" w:eastAsia="Arial Unicode MS" w:hAnsi="Arial Unicode MS" w:cs="Arial Unicode MS"/>
          <w:i/>
          <w:sz w:val="16"/>
          <w:szCs w:val="20"/>
        </w:rPr>
      </w:pPr>
    </w:p>
    <w:p w:rsidR="00EF1E98" w:rsidRPr="00EF1E98" w:rsidRDefault="00EF1E98" w:rsidP="00EF1E98">
      <w:pPr>
        <w:ind w:left="851" w:right="566"/>
        <w:jc w:val="both"/>
        <w:rPr>
          <w:rFonts w:ascii="Arial" w:eastAsia="Arial Unicode MS" w:hAnsi="Arial" w:cs="Arial"/>
          <w:i/>
          <w:sz w:val="22"/>
          <w:szCs w:val="22"/>
        </w:rPr>
      </w:pPr>
      <w:r w:rsidRPr="00EF1E98">
        <w:rPr>
          <w:rFonts w:ascii="Arial" w:eastAsia="Arial Unicode MS" w:hAnsi="Arial" w:cs="Arial"/>
          <w:i/>
          <w:sz w:val="22"/>
          <w:szCs w:val="22"/>
        </w:rPr>
        <w:t>“…</w:t>
      </w:r>
    </w:p>
    <w:p w:rsidR="00EF1E98" w:rsidRPr="00EF1E98" w:rsidRDefault="00EF1E98" w:rsidP="00EF1E98">
      <w:pPr>
        <w:numPr>
          <w:ilvl w:val="0"/>
          <w:numId w:val="46"/>
        </w:numPr>
        <w:ind w:left="1276" w:right="566"/>
        <w:jc w:val="both"/>
        <w:rPr>
          <w:rFonts w:ascii="Arial" w:hAnsi="Arial" w:cs="Arial"/>
          <w:i/>
          <w:sz w:val="22"/>
          <w:szCs w:val="22"/>
        </w:rPr>
      </w:pPr>
      <w:r w:rsidRPr="00EF1E98">
        <w:rPr>
          <w:rFonts w:ascii="Arial" w:hAnsi="Arial" w:cs="Arial"/>
          <w:i/>
          <w:sz w:val="22"/>
          <w:szCs w:val="22"/>
        </w:rPr>
        <w:t>Aprobar el Presupuesto Ordinario 2018 del Instituto Tecnológico de Costa Rica con base al oficio R-1170-2017, del 26 de setiembre de 2017, por un monto de ¢</w:t>
      </w:r>
      <w:r w:rsidRPr="00EF1E98">
        <w:rPr>
          <w:rFonts w:ascii="Calibri" w:hAnsi="Calibri" w:cs="Arial"/>
          <w:i/>
          <w:color w:val="000000"/>
          <w:sz w:val="22"/>
          <w:szCs w:val="22"/>
        </w:rPr>
        <w:t xml:space="preserve"> </w:t>
      </w:r>
      <w:proofErr w:type="gramStart"/>
      <w:r w:rsidRPr="00EF1E98">
        <w:rPr>
          <w:rFonts w:ascii="Arial" w:hAnsi="Arial" w:cs="Arial"/>
          <w:i/>
          <w:sz w:val="22"/>
          <w:szCs w:val="22"/>
        </w:rPr>
        <w:t>77.511.163.886  (</w:t>
      </w:r>
      <w:proofErr w:type="gramEnd"/>
      <w:r w:rsidRPr="00EF1E98">
        <w:rPr>
          <w:rFonts w:ascii="Arial" w:hAnsi="Arial" w:cs="Arial"/>
          <w:i/>
          <w:sz w:val="22"/>
          <w:szCs w:val="22"/>
        </w:rPr>
        <w:t>Setenta y siete mil quinientos once millones ciento sesenta y tres mil ochocientos ochenta y seis colones), de acuerdo a los siguientes cuadros de detalle:</w:t>
      </w:r>
    </w:p>
    <w:p w:rsidR="00EF1E98" w:rsidRPr="00EF1E98" w:rsidRDefault="00EF1E98" w:rsidP="00EF1E98">
      <w:pPr>
        <w:jc w:val="both"/>
        <w:rPr>
          <w:rFonts w:ascii="Arial" w:hAnsi="Arial" w:cs="Arial"/>
          <w:i/>
          <w:sz w:val="16"/>
          <w:szCs w:val="20"/>
        </w:rPr>
      </w:pPr>
    </w:p>
    <w:p w:rsidR="00EF1E98" w:rsidRPr="00EF1E98" w:rsidRDefault="00EF1E98" w:rsidP="00EF1E98">
      <w:pPr>
        <w:ind w:left="40"/>
        <w:jc w:val="center"/>
        <w:rPr>
          <w:rFonts w:ascii="Arial" w:hAnsi="Arial" w:cs="Arial"/>
          <w:b/>
          <w:bCs/>
          <w:i/>
          <w:sz w:val="20"/>
          <w:szCs w:val="16"/>
        </w:rPr>
      </w:pPr>
    </w:p>
    <w:p w:rsidR="00EF1E98" w:rsidRPr="00EF1E98" w:rsidRDefault="00EF1E98" w:rsidP="00EF1E98">
      <w:pPr>
        <w:ind w:left="40"/>
        <w:jc w:val="center"/>
        <w:rPr>
          <w:rFonts w:ascii="Arial" w:hAnsi="Arial" w:cs="Arial"/>
          <w:b/>
          <w:bCs/>
          <w:i/>
          <w:sz w:val="20"/>
          <w:szCs w:val="16"/>
        </w:rPr>
      </w:pPr>
      <w:r w:rsidRPr="00EF1E98">
        <w:rPr>
          <w:rFonts w:ascii="Arial" w:hAnsi="Arial" w:cs="Arial"/>
          <w:b/>
          <w:bCs/>
          <w:i/>
          <w:sz w:val="20"/>
          <w:szCs w:val="16"/>
        </w:rPr>
        <w:t>PRESUPUESTO ORDINARIO DEL</w:t>
      </w:r>
    </w:p>
    <w:p w:rsidR="00EF1E98" w:rsidRPr="00EF1E98" w:rsidRDefault="00EF1E98" w:rsidP="00EF1E98">
      <w:pPr>
        <w:ind w:left="40"/>
        <w:jc w:val="center"/>
        <w:rPr>
          <w:rFonts w:ascii="Arial" w:hAnsi="Arial" w:cs="Arial"/>
          <w:b/>
          <w:bCs/>
          <w:i/>
          <w:sz w:val="20"/>
          <w:szCs w:val="16"/>
        </w:rPr>
      </w:pPr>
      <w:r w:rsidRPr="00EF1E98">
        <w:rPr>
          <w:rFonts w:ascii="Arial" w:hAnsi="Arial" w:cs="Arial"/>
          <w:b/>
          <w:bCs/>
          <w:i/>
          <w:sz w:val="20"/>
          <w:szCs w:val="16"/>
        </w:rPr>
        <w:t>INSTITUTO TECNOLÓGICO DE COSTA RICA 2018</w:t>
      </w:r>
    </w:p>
    <w:p w:rsidR="00EF1E98" w:rsidRPr="00EF1E98" w:rsidRDefault="00EF1E98" w:rsidP="00EF1E98">
      <w:pPr>
        <w:tabs>
          <w:tab w:val="left" w:pos="426"/>
        </w:tabs>
        <w:spacing w:after="200" w:line="276" w:lineRule="auto"/>
        <w:ind w:left="40"/>
        <w:jc w:val="center"/>
        <w:rPr>
          <w:rFonts w:ascii="Arial" w:hAnsi="Arial" w:cs="Arial"/>
          <w:i/>
          <w:sz w:val="16"/>
          <w:szCs w:val="20"/>
        </w:rPr>
      </w:pPr>
      <w:r w:rsidRPr="00EF1E98">
        <w:rPr>
          <w:rFonts w:ascii="Arial" w:hAnsi="Arial" w:cs="Arial"/>
          <w:b/>
          <w:bCs/>
          <w:i/>
          <w:sz w:val="20"/>
          <w:szCs w:val="16"/>
        </w:rPr>
        <w:t>(montos en miles de colones)</w:t>
      </w:r>
    </w:p>
    <w:tbl>
      <w:tblPr>
        <w:tblW w:w="8865" w:type="dxa"/>
        <w:tblInd w:w="140" w:type="dxa"/>
        <w:tblLayout w:type="fixed"/>
        <w:tblCellMar>
          <w:left w:w="70" w:type="dxa"/>
          <w:right w:w="70" w:type="dxa"/>
        </w:tblCellMar>
        <w:tblLook w:val="04A0" w:firstRow="1" w:lastRow="0" w:firstColumn="1" w:lastColumn="0" w:noHBand="0" w:noVBand="1"/>
      </w:tblPr>
      <w:tblGrid>
        <w:gridCol w:w="2315"/>
        <w:gridCol w:w="1395"/>
        <w:gridCol w:w="1086"/>
        <w:gridCol w:w="982"/>
        <w:gridCol w:w="982"/>
        <w:gridCol w:w="982"/>
        <w:gridCol w:w="1123"/>
      </w:tblGrid>
      <w:tr w:rsidR="00EF1E98" w:rsidRPr="00EF1E98" w:rsidTr="00E73562">
        <w:trPr>
          <w:trHeight w:val="232"/>
        </w:trPr>
        <w:tc>
          <w:tcPr>
            <w:tcW w:w="2315"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lang w:eastAsia="es-CR"/>
              </w:rPr>
            </w:pPr>
            <w:r w:rsidRPr="00EF1E98">
              <w:rPr>
                <w:rFonts w:ascii="Verdana" w:hAnsi="Verdana" w:cs="Arial"/>
                <w:b/>
                <w:bCs/>
                <w:i/>
                <w:color w:val="000000"/>
                <w:sz w:val="16"/>
                <w:szCs w:val="16"/>
              </w:rPr>
              <w:t> </w:t>
            </w:r>
          </w:p>
        </w:tc>
        <w:tc>
          <w:tcPr>
            <w:tcW w:w="1395"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Administración</w:t>
            </w:r>
          </w:p>
        </w:tc>
        <w:tc>
          <w:tcPr>
            <w:tcW w:w="1086"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Docencia</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VIESA</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VIE</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San Carlos</w:t>
            </w:r>
          </w:p>
        </w:tc>
        <w:tc>
          <w:tcPr>
            <w:tcW w:w="1123"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center"/>
              <w:rPr>
                <w:rFonts w:ascii="Verdana" w:hAnsi="Verdana" w:cs="Arial"/>
                <w:b/>
                <w:bCs/>
                <w:i/>
                <w:color w:val="000000"/>
                <w:sz w:val="16"/>
                <w:szCs w:val="16"/>
              </w:rPr>
            </w:pPr>
            <w:r w:rsidRPr="00EF1E98">
              <w:rPr>
                <w:rFonts w:ascii="Verdana" w:hAnsi="Verdana" w:cs="Arial"/>
                <w:b/>
                <w:bCs/>
                <w:i/>
                <w:color w:val="000000"/>
                <w:sz w:val="16"/>
                <w:szCs w:val="16"/>
              </w:rPr>
              <w:t>TOTAL</w:t>
            </w:r>
          </w:p>
        </w:tc>
      </w:tr>
      <w:tr w:rsidR="00EF1E98" w:rsidRPr="00EF1E98" w:rsidTr="00E73562">
        <w:trPr>
          <w:trHeight w:val="232"/>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REMUNERACIONES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10.730.847</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24.323.573</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3.816.755</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5.133.737</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5.553.985</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49.558.896</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SERVICIOS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2.864.323</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813.729</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388.659</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1.070.282</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1.158.578</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6.295.571</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MATERIALES Y SUMINISTROS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1.010.709</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223.322</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139.762</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350.458</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592.165</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2.316.417</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INTERESES Y COMISIONES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481.658</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481.658</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ACTIVOS FINANCIEROS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15.000</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550.000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565.000</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BIENES DURADEROS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6.063.882</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4.492.200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372.400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1.037.685</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1.123.707</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13.089.874</w:t>
            </w:r>
          </w:p>
        </w:tc>
      </w:tr>
      <w:tr w:rsidR="00EF1E98" w:rsidRPr="00EF1E98" w:rsidTr="00E73562">
        <w:trPr>
          <w:trHeight w:val="223"/>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TRANSFERENCIAS CORRIENTES</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706.096</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886.291</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2.637.313</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505.148</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46.900</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4.781.748</w:t>
            </w:r>
          </w:p>
        </w:tc>
      </w:tr>
      <w:tr w:rsidR="00EF1E98" w:rsidRPr="00EF1E98" w:rsidTr="00E73562">
        <w:trPr>
          <w:trHeight w:val="232"/>
        </w:trPr>
        <w:tc>
          <w:tcPr>
            <w:tcW w:w="2315" w:type="dxa"/>
            <w:tcBorders>
              <w:top w:val="nil"/>
              <w:left w:val="nil"/>
              <w:bottom w:val="nil"/>
              <w:right w:val="nil"/>
            </w:tcBorders>
            <w:shd w:val="clear" w:color="auto" w:fill="auto"/>
            <w:noWrap/>
            <w:vAlign w:val="center"/>
            <w:hideMark/>
          </w:tcPr>
          <w:p w:rsidR="00EF1E98" w:rsidRPr="00EF1E98" w:rsidRDefault="00EF1E98" w:rsidP="00EF1E98">
            <w:pPr>
              <w:ind w:left="40"/>
              <w:rPr>
                <w:rFonts w:ascii="Verdana" w:hAnsi="Verdana" w:cs="Arial"/>
                <w:i/>
                <w:color w:val="000000"/>
                <w:sz w:val="16"/>
                <w:szCs w:val="16"/>
              </w:rPr>
            </w:pPr>
            <w:r w:rsidRPr="00EF1E98">
              <w:rPr>
                <w:rFonts w:ascii="Verdana" w:hAnsi="Verdana" w:cs="Arial"/>
                <w:i/>
                <w:color w:val="000000"/>
                <w:sz w:val="16"/>
                <w:szCs w:val="16"/>
              </w:rPr>
              <w:t>AMORTIZACIÓN</w:t>
            </w:r>
          </w:p>
        </w:tc>
        <w:tc>
          <w:tcPr>
            <w:tcW w:w="1395"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422.000</w:t>
            </w:r>
          </w:p>
        </w:tc>
        <w:tc>
          <w:tcPr>
            <w:tcW w:w="1086"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982"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0</w:t>
            </w:r>
          </w:p>
        </w:tc>
        <w:tc>
          <w:tcPr>
            <w:tcW w:w="1123" w:type="dxa"/>
            <w:tcBorders>
              <w:top w:val="nil"/>
              <w:left w:val="nil"/>
              <w:bottom w:val="nil"/>
              <w:right w:val="nil"/>
            </w:tcBorders>
            <w:shd w:val="clear" w:color="auto" w:fill="auto"/>
            <w:vAlign w:val="center"/>
            <w:hideMark/>
          </w:tcPr>
          <w:p w:rsidR="00EF1E98" w:rsidRPr="00EF1E98" w:rsidRDefault="00EF1E98" w:rsidP="00EF1E98">
            <w:pPr>
              <w:ind w:left="40"/>
              <w:jc w:val="right"/>
              <w:rPr>
                <w:rFonts w:ascii="Verdana" w:hAnsi="Verdana" w:cs="Arial"/>
                <w:i/>
                <w:color w:val="000000"/>
                <w:sz w:val="16"/>
                <w:szCs w:val="16"/>
              </w:rPr>
            </w:pPr>
            <w:r w:rsidRPr="00EF1E98">
              <w:rPr>
                <w:rFonts w:ascii="Verdana" w:hAnsi="Verdana" w:cs="Arial"/>
                <w:i/>
                <w:color w:val="000000"/>
                <w:sz w:val="16"/>
                <w:szCs w:val="16"/>
              </w:rPr>
              <w:t>422.000</w:t>
            </w:r>
          </w:p>
        </w:tc>
      </w:tr>
      <w:tr w:rsidR="00EF1E98" w:rsidRPr="00EF1E98" w:rsidTr="00E73562">
        <w:trPr>
          <w:trHeight w:val="232"/>
        </w:trPr>
        <w:tc>
          <w:tcPr>
            <w:tcW w:w="2315" w:type="dxa"/>
            <w:tcBorders>
              <w:top w:val="single" w:sz="8" w:space="0" w:color="auto"/>
              <w:left w:val="nil"/>
              <w:bottom w:val="double" w:sz="6" w:space="0" w:color="auto"/>
              <w:right w:val="nil"/>
            </w:tcBorders>
            <w:shd w:val="clear" w:color="auto" w:fill="auto"/>
            <w:noWrap/>
            <w:vAlign w:val="center"/>
            <w:hideMark/>
          </w:tcPr>
          <w:p w:rsidR="00EF1E98" w:rsidRPr="00EF1E98" w:rsidRDefault="00EF1E98" w:rsidP="00EF1E98">
            <w:pPr>
              <w:ind w:left="40"/>
              <w:rPr>
                <w:rFonts w:ascii="Verdana" w:hAnsi="Verdana" w:cs="Arial"/>
                <w:b/>
                <w:bCs/>
                <w:i/>
                <w:color w:val="000000"/>
                <w:sz w:val="16"/>
                <w:szCs w:val="16"/>
              </w:rPr>
            </w:pPr>
            <w:r w:rsidRPr="00EF1E98">
              <w:rPr>
                <w:rFonts w:ascii="Verdana" w:hAnsi="Verdana" w:cs="Arial"/>
                <w:b/>
                <w:bCs/>
                <w:i/>
                <w:color w:val="000000"/>
                <w:sz w:val="16"/>
                <w:szCs w:val="16"/>
              </w:rPr>
              <w:t>TOTAL</w:t>
            </w:r>
          </w:p>
        </w:tc>
        <w:tc>
          <w:tcPr>
            <w:tcW w:w="1395"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22.294.515</w:t>
            </w:r>
          </w:p>
        </w:tc>
        <w:tc>
          <w:tcPr>
            <w:tcW w:w="1086"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30.739.115</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7.904.889</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8.097.311</w:t>
            </w:r>
          </w:p>
        </w:tc>
        <w:tc>
          <w:tcPr>
            <w:tcW w:w="982"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8.475.334</w:t>
            </w:r>
          </w:p>
        </w:tc>
        <w:tc>
          <w:tcPr>
            <w:tcW w:w="1123" w:type="dxa"/>
            <w:tcBorders>
              <w:top w:val="single" w:sz="8" w:space="0" w:color="auto"/>
              <w:left w:val="nil"/>
              <w:bottom w:val="double" w:sz="6" w:space="0" w:color="auto"/>
              <w:right w:val="nil"/>
            </w:tcBorders>
            <w:shd w:val="clear" w:color="auto" w:fill="auto"/>
            <w:vAlign w:val="center"/>
            <w:hideMark/>
          </w:tcPr>
          <w:p w:rsidR="00EF1E98" w:rsidRPr="00EF1E98" w:rsidRDefault="00EF1E98" w:rsidP="00EF1E98">
            <w:pPr>
              <w:ind w:left="40"/>
              <w:jc w:val="right"/>
              <w:rPr>
                <w:rFonts w:ascii="Verdana" w:hAnsi="Verdana" w:cs="Arial"/>
                <w:b/>
                <w:bCs/>
                <w:i/>
                <w:color w:val="000000"/>
                <w:sz w:val="16"/>
                <w:szCs w:val="16"/>
              </w:rPr>
            </w:pPr>
            <w:r w:rsidRPr="00EF1E98">
              <w:rPr>
                <w:rFonts w:ascii="Verdana" w:hAnsi="Verdana" w:cs="Arial"/>
                <w:b/>
                <w:bCs/>
                <w:i/>
                <w:color w:val="000000"/>
                <w:sz w:val="16"/>
                <w:szCs w:val="16"/>
              </w:rPr>
              <w:t>77.511.164</w:t>
            </w:r>
          </w:p>
        </w:tc>
      </w:tr>
    </w:tbl>
    <w:p w:rsidR="00EF1E98" w:rsidRPr="00EF1E98" w:rsidRDefault="00EF1E98" w:rsidP="00EF1E98">
      <w:pPr>
        <w:ind w:left="40"/>
        <w:jc w:val="both"/>
        <w:rPr>
          <w:rFonts w:ascii="Arial Unicode MS" w:eastAsia="Arial Unicode MS" w:hAnsi="Arial Unicode MS" w:cs="Arial Unicode MS"/>
          <w:i/>
          <w:sz w:val="16"/>
          <w:szCs w:val="20"/>
        </w:rPr>
      </w:pPr>
    </w:p>
    <w:p w:rsidR="00EF1E98" w:rsidRPr="00EF1E98" w:rsidRDefault="00EF1E98" w:rsidP="00EF1E98">
      <w:pPr>
        <w:spacing w:before="120"/>
        <w:jc w:val="both"/>
        <w:rPr>
          <w:rFonts w:ascii="Arial" w:hAnsi="Arial" w:cs="Arial"/>
          <w:b/>
        </w:rPr>
      </w:pPr>
      <w:r w:rsidRPr="00EF1E98">
        <w:rPr>
          <w:rFonts w:ascii="Arial" w:hAnsi="Arial" w:cs="Arial"/>
          <w:b/>
        </w:rPr>
        <w:t>CONSIDERANDO QUE:</w:t>
      </w:r>
    </w:p>
    <w:p w:rsidR="00EF1E98" w:rsidRPr="00EF1E98" w:rsidRDefault="00EF1E98" w:rsidP="00EF1E98">
      <w:pPr>
        <w:spacing w:before="120"/>
        <w:jc w:val="both"/>
        <w:rPr>
          <w:rFonts w:ascii="Arial" w:hAnsi="Arial" w:cs="Arial"/>
          <w:sz w:val="16"/>
          <w:szCs w:val="16"/>
        </w:rPr>
      </w:pPr>
    </w:p>
    <w:p w:rsidR="00EF1E98" w:rsidRPr="00EF1E98" w:rsidRDefault="00EF1E98" w:rsidP="00EF1E98">
      <w:pPr>
        <w:numPr>
          <w:ilvl w:val="0"/>
          <w:numId w:val="49"/>
        </w:numPr>
        <w:ind w:left="283" w:hanging="357"/>
        <w:jc w:val="both"/>
        <w:rPr>
          <w:rFonts w:ascii="Arial" w:eastAsia="Arial Unicode MS" w:hAnsi="Arial" w:cs="Arial"/>
        </w:rPr>
      </w:pPr>
      <w:r w:rsidRPr="00EF1E98">
        <w:rPr>
          <w:rFonts w:ascii="Arial" w:eastAsia="Arial Unicode MS" w:hAnsi="Arial" w:cs="Arial"/>
        </w:rPr>
        <w:t xml:space="preserve">El Presupuesto Ordinario 2018 fue aprobado en detalle bajo el </w:t>
      </w:r>
      <w:r w:rsidR="00194C18">
        <w:rPr>
          <w:rFonts w:ascii="Arial" w:eastAsia="Arial Unicode MS" w:hAnsi="Arial" w:cs="Arial"/>
        </w:rPr>
        <w:t>n</w:t>
      </w:r>
      <w:r w:rsidRPr="00EF1E98">
        <w:rPr>
          <w:rFonts w:ascii="Arial" w:eastAsia="Arial Unicode MS" w:hAnsi="Arial" w:cs="Arial"/>
        </w:rPr>
        <w:t>ombre del Proyecto y detalle del gasto, a nivel de programa y partida presupuestaria y cualquier modificación al mismo requieren aprobación del Consejo Institucional.</w:t>
      </w:r>
    </w:p>
    <w:p w:rsidR="00EF1E98" w:rsidRPr="00EF1E98" w:rsidRDefault="00EF1E98" w:rsidP="00EF1E98">
      <w:pPr>
        <w:ind w:left="283"/>
        <w:jc w:val="both"/>
        <w:rPr>
          <w:rFonts w:ascii="Arial" w:eastAsia="Arial Unicode MS" w:hAnsi="Arial" w:cs="Arial"/>
        </w:rPr>
      </w:pPr>
    </w:p>
    <w:p w:rsidR="00EF1E98" w:rsidRPr="00EF1E98" w:rsidRDefault="00EF1E98" w:rsidP="00EF1E98">
      <w:pPr>
        <w:numPr>
          <w:ilvl w:val="0"/>
          <w:numId w:val="49"/>
        </w:numPr>
        <w:ind w:left="283" w:hanging="357"/>
        <w:jc w:val="both"/>
        <w:rPr>
          <w:rFonts w:ascii="Arial" w:eastAsia="Arial Unicode MS" w:hAnsi="Arial" w:cs="Arial"/>
        </w:rPr>
      </w:pPr>
      <w:r w:rsidRPr="00EF1E98">
        <w:rPr>
          <w:rFonts w:ascii="Arial" w:eastAsia="Arial Unicode MS" w:hAnsi="Arial" w:cs="Arial"/>
        </w:rPr>
        <w:t>La Contraloría General de la República comunica la aprobación del Presupuesto Ordinario, normalmente en el mes de diciembre de cada año.</w:t>
      </w:r>
    </w:p>
    <w:p w:rsidR="00EF1E98" w:rsidRPr="00EF1E98" w:rsidRDefault="00EF1E98" w:rsidP="00EF1E98">
      <w:pPr>
        <w:ind w:left="283"/>
        <w:jc w:val="both"/>
        <w:rPr>
          <w:rFonts w:ascii="Arial" w:eastAsia="Arial Unicode MS" w:hAnsi="Arial" w:cs="Arial"/>
        </w:rPr>
      </w:pPr>
    </w:p>
    <w:p w:rsidR="00EF1E98" w:rsidRPr="00EF1E98" w:rsidRDefault="00EF1E98" w:rsidP="00EF1E98">
      <w:pPr>
        <w:numPr>
          <w:ilvl w:val="0"/>
          <w:numId w:val="49"/>
        </w:numPr>
        <w:ind w:left="283" w:hanging="357"/>
        <w:jc w:val="both"/>
        <w:rPr>
          <w:rFonts w:ascii="Arial" w:eastAsia="Arial Unicode MS" w:hAnsi="Arial" w:cs="Arial"/>
        </w:rPr>
      </w:pPr>
      <w:r w:rsidRPr="00EF1E98">
        <w:rPr>
          <w:rFonts w:ascii="Arial" w:eastAsia="Arial Unicode MS" w:hAnsi="Arial" w:cs="Arial"/>
        </w:rPr>
        <w:t>La Institución inicia las vacaciones el 15 de diciembre del 2017 y regresa el 15 de enero del 2018, período en que el Consejo Institucional no sesiona en forma ordinaria.</w:t>
      </w:r>
    </w:p>
    <w:p w:rsidR="00EF1E98" w:rsidRPr="00EF1E98" w:rsidRDefault="00EF1E98" w:rsidP="00EF1E98">
      <w:pPr>
        <w:ind w:left="720"/>
        <w:contextualSpacing/>
        <w:rPr>
          <w:rFonts w:ascii="Arial" w:eastAsia="Arial Unicode MS" w:hAnsi="Arial" w:cs="Arial"/>
        </w:rPr>
      </w:pPr>
    </w:p>
    <w:p w:rsidR="00EF1E98" w:rsidRPr="00EF1E98" w:rsidRDefault="00EF1E98" w:rsidP="00EF1E98">
      <w:pPr>
        <w:numPr>
          <w:ilvl w:val="0"/>
          <w:numId w:val="49"/>
        </w:numPr>
        <w:ind w:left="283" w:hanging="357"/>
        <w:jc w:val="both"/>
        <w:rPr>
          <w:rFonts w:ascii="Arial" w:eastAsia="Arial Unicode MS" w:hAnsi="Arial" w:cs="Arial"/>
        </w:rPr>
      </w:pPr>
      <w:r w:rsidRPr="00EF1E98">
        <w:rPr>
          <w:rFonts w:ascii="Arial" w:eastAsia="Arial Unicode MS" w:hAnsi="Arial" w:cs="Arial"/>
        </w:rPr>
        <w:lastRenderedPageBreak/>
        <w:t xml:space="preserve">La Administración ha programado pagar la planilla de la primera quincena de enero el 15 de enero del 2018 y el salario escolar el 17 de enero del 2018.  </w:t>
      </w:r>
    </w:p>
    <w:p w:rsidR="00EF1E98" w:rsidRPr="00EF1E98" w:rsidRDefault="00EF1E98" w:rsidP="00EF1E98">
      <w:pPr>
        <w:ind w:left="720"/>
        <w:contextualSpacing/>
        <w:rPr>
          <w:rFonts w:ascii="Arial" w:eastAsia="Arial Unicode MS" w:hAnsi="Arial" w:cs="Arial"/>
        </w:rPr>
      </w:pPr>
    </w:p>
    <w:p w:rsidR="00EF1E98" w:rsidRPr="00EF1E98" w:rsidRDefault="00EF1E98" w:rsidP="00EF1E98">
      <w:pPr>
        <w:numPr>
          <w:ilvl w:val="0"/>
          <w:numId w:val="49"/>
        </w:numPr>
        <w:ind w:left="283" w:hanging="357"/>
        <w:jc w:val="both"/>
        <w:rPr>
          <w:rFonts w:ascii="Arial" w:eastAsia="Arial Unicode MS" w:hAnsi="Arial" w:cs="Arial"/>
        </w:rPr>
      </w:pPr>
      <w:r w:rsidRPr="00EF1E98">
        <w:rPr>
          <w:rFonts w:ascii="Arial" w:eastAsia="Arial Unicode MS" w:hAnsi="Arial" w:cs="Arial"/>
        </w:rPr>
        <w:t>La Contraloría General de la República, puede aprobar en forma parcial el Presupuesto Inicial para el 2018, los ajustes producto de esta aprobación parcial, según se indica en el considerando 1 requieren acuerdo del Consejo Institucional, lo que podría implicar un atraso que podría afectar los pagos antes citados y los compromisos con proveedores asumidos en el 2017.</w:t>
      </w:r>
    </w:p>
    <w:p w:rsidR="00EF1E98" w:rsidRPr="00EF1E98" w:rsidRDefault="00EF1E98" w:rsidP="00EF1E98">
      <w:pPr>
        <w:ind w:left="720"/>
        <w:contextualSpacing/>
        <w:rPr>
          <w:rFonts w:ascii="Arial" w:eastAsia="Arial Unicode MS" w:hAnsi="Arial" w:cs="Arial"/>
          <w:i/>
        </w:rPr>
      </w:pPr>
    </w:p>
    <w:p w:rsidR="00EF1E98" w:rsidRPr="00EF1E98" w:rsidRDefault="00EF1E98" w:rsidP="00EF1E98">
      <w:pPr>
        <w:jc w:val="both"/>
        <w:rPr>
          <w:rFonts w:ascii="Arial" w:eastAsia="Arial Unicode MS" w:hAnsi="Arial" w:cs="Arial"/>
          <w:b/>
          <w:i/>
        </w:rPr>
      </w:pPr>
      <w:r w:rsidRPr="00EF1E98">
        <w:rPr>
          <w:rFonts w:ascii="Arial" w:eastAsia="Arial Unicode MS" w:hAnsi="Arial" w:cs="Arial"/>
          <w:b/>
        </w:rPr>
        <w:t>SE</w:t>
      </w:r>
      <w:r>
        <w:rPr>
          <w:rFonts w:ascii="Arial" w:eastAsia="Arial Unicode MS" w:hAnsi="Arial" w:cs="Arial"/>
          <w:b/>
        </w:rPr>
        <w:t xml:space="preserve"> ACUERDA</w:t>
      </w:r>
      <w:r w:rsidRPr="00EF1E98">
        <w:rPr>
          <w:rFonts w:ascii="Arial" w:eastAsia="Arial Unicode MS" w:hAnsi="Arial" w:cs="Arial"/>
          <w:b/>
          <w:i/>
        </w:rPr>
        <w:t>:</w:t>
      </w:r>
    </w:p>
    <w:p w:rsidR="00EF1E98" w:rsidRPr="00EF1E98" w:rsidRDefault="00EF1E98" w:rsidP="00EF1E98">
      <w:pPr>
        <w:jc w:val="both"/>
        <w:rPr>
          <w:rFonts w:ascii="Arial" w:eastAsia="Arial Unicode MS" w:hAnsi="Arial" w:cs="Arial"/>
          <w:b/>
          <w:i/>
        </w:rPr>
      </w:pPr>
    </w:p>
    <w:p w:rsidR="00EF1E98" w:rsidRPr="00EF1E98" w:rsidRDefault="00EF1E98" w:rsidP="00EF1E98">
      <w:pPr>
        <w:numPr>
          <w:ilvl w:val="0"/>
          <w:numId w:val="48"/>
        </w:numPr>
        <w:ind w:left="284" w:hanging="284"/>
        <w:jc w:val="both"/>
        <w:rPr>
          <w:rFonts w:ascii="Arial" w:eastAsia="Arial Unicode MS" w:hAnsi="Arial" w:cs="Arial"/>
        </w:rPr>
      </w:pPr>
      <w:r w:rsidRPr="00EF1E98">
        <w:rPr>
          <w:rFonts w:ascii="Arial" w:eastAsia="Arial Unicode MS" w:hAnsi="Arial" w:cs="Arial"/>
        </w:rPr>
        <w:t>Autorizar a la Administración a realizar los aju</w:t>
      </w:r>
      <w:r>
        <w:rPr>
          <w:rFonts w:ascii="Arial" w:eastAsia="Arial Unicode MS" w:hAnsi="Arial" w:cs="Arial"/>
        </w:rPr>
        <w:t xml:space="preserve">stes respectivos en caso de la </w:t>
      </w:r>
      <w:r w:rsidRPr="00EF1E98">
        <w:rPr>
          <w:rFonts w:ascii="Arial" w:eastAsia="Arial Unicode MS" w:hAnsi="Arial" w:cs="Arial"/>
        </w:rPr>
        <w:t>aprobación parcial del presupuesto inicial del período 2018, por parte de la Contraloría General de la República.</w:t>
      </w:r>
    </w:p>
    <w:p w:rsidR="00EF1E98" w:rsidRPr="00EF1E98" w:rsidRDefault="00EF1E98" w:rsidP="00EF1E98">
      <w:pPr>
        <w:jc w:val="both"/>
        <w:rPr>
          <w:rFonts w:ascii="Arial" w:eastAsia="Arial Unicode MS" w:hAnsi="Arial" w:cs="Arial"/>
        </w:rPr>
      </w:pPr>
    </w:p>
    <w:p w:rsidR="00EF1E98" w:rsidRPr="00EF1E98" w:rsidRDefault="00EF1E98" w:rsidP="00EF1E98">
      <w:pPr>
        <w:numPr>
          <w:ilvl w:val="0"/>
          <w:numId w:val="48"/>
        </w:numPr>
        <w:ind w:left="284" w:hanging="284"/>
        <w:jc w:val="both"/>
        <w:rPr>
          <w:rFonts w:ascii="Arial" w:eastAsia="Arial Unicode MS" w:hAnsi="Arial" w:cs="Arial"/>
        </w:rPr>
      </w:pPr>
      <w:r w:rsidRPr="00EF1E98">
        <w:rPr>
          <w:rFonts w:ascii="Arial" w:eastAsia="Arial Unicode MS" w:hAnsi="Arial" w:cs="Arial"/>
        </w:rPr>
        <w:t>Presentar un informe al Consejo Institucional de los ajustes realizados y su justificación en un plazo de dos semanas calendario; a efecto de actualizar la aplicación de recursos considerada en la aprobación del Presupuesto Ordinario 2018 y Vinculación con el Plan Anual Operativo 2018, de la Sesión Ordinaria No. 3040, Artículo 10.</w:t>
      </w:r>
    </w:p>
    <w:p w:rsidR="00672D32" w:rsidRPr="00EF1E98" w:rsidRDefault="00672D32" w:rsidP="00672D32">
      <w:pPr>
        <w:jc w:val="both"/>
        <w:rPr>
          <w:rFonts w:ascii="Arial" w:hAnsi="Arial" w:cs="Arial"/>
          <w:b/>
        </w:rPr>
      </w:pPr>
    </w:p>
    <w:p w:rsidR="00887FCC" w:rsidRDefault="002204D7" w:rsidP="00EF1E98">
      <w:pPr>
        <w:numPr>
          <w:ilvl w:val="0"/>
          <w:numId w:val="48"/>
        </w:numPr>
        <w:ind w:left="284" w:hanging="284"/>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1439E" w:rsidRDefault="0041439E" w:rsidP="0041439E">
      <w:pPr>
        <w:pStyle w:val="Prrafodelista"/>
        <w:rPr>
          <w:rFonts w:ascii="Arial" w:hAnsi="Arial" w:cs="Arial"/>
          <w:b/>
          <w:lang w:val="es-CR"/>
        </w:rPr>
      </w:pPr>
    </w:p>
    <w:p w:rsidR="0041439E" w:rsidRDefault="0041439E" w:rsidP="0041439E">
      <w:pPr>
        <w:jc w:val="both"/>
        <w:rPr>
          <w:rFonts w:ascii="Arial" w:hAnsi="Arial" w:cs="Arial"/>
          <w:b/>
          <w:lang w:val="es-CR"/>
        </w:rPr>
      </w:pPr>
    </w:p>
    <w:p w:rsidR="00EF1E98" w:rsidRPr="00EF1E98" w:rsidRDefault="00EF1E98" w:rsidP="00EF1E98">
      <w:pPr>
        <w:rPr>
          <w:rFonts w:ascii="Arial" w:hAnsi="Arial" w:cs="Arial"/>
          <w:b/>
          <w:i/>
          <w:sz w:val="18"/>
          <w:szCs w:val="18"/>
        </w:rPr>
      </w:pPr>
      <w:r w:rsidRPr="00EF1E98">
        <w:rPr>
          <w:rFonts w:ascii="Arial" w:hAnsi="Arial" w:cs="Arial"/>
          <w:b/>
          <w:i/>
          <w:sz w:val="18"/>
          <w:szCs w:val="18"/>
        </w:rPr>
        <w:t xml:space="preserve">Palabras Clave:   Autorización –Administración – Ajustes – cargar – sistema  </w:t>
      </w:r>
    </w:p>
    <w:p w:rsidR="004F7EB0" w:rsidRPr="00525012" w:rsidRDefault="004F7EB0" w:rsidP="00672D32">
      <w:pPr>
        <w:jc w:val="both"/>
        <w:rPr>
          <w:rFonts w:ascii="Arial" w:hAnsi="Arial" w:cs="Arial"/>
          <w:b/>
          <w:sz w:val="22"/>
          <w:szCs w:val="22"/>
        </w:rPr>
      </w:pPr>
    </w:p>
    <w:p w:rsidR="004F7EB0" w:rsidRPr="0041439E" w:rsidRDefault="004F7EB0" w:rsidP="00672D32">
      <w:pPr>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77" w:rsidRDefault="001E3A77">
      <w:r>
        <w:separator/>
      </w:r>
    </w:p>
  </w:endnote>
  <w:endnote w:type="continuationSeparator" w:id="0">
    <w:p w:rsidR="001E3A77" w:rsidRDefault="001E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77" w:rsidRDefault="001E3A77">
      <w:r>
        <w:separator/>
      </w:r>
    </w:p>
  </w:footnote>
  <w:footnote w:type="continuationSeparator" w:id="0">
    <w:p w:rsidR="001E3A77" w:rsidRDefault="001E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EF1E98">
      <w:rPr>
        <w:rFonts w:ascii="Arial" w:eastAsia="Cambria" w:hAnsi="Arial" w:cs="Arial"/>
        <w:i/>
        <w:sz w:val="18"/>
        <w:szCs w:val="18"/>
        <w:lang w:val="es-ES_tradnl" w:eastAsia="x-none"/>
      </w:rPr>
      <w:t>5</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F1E98">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94C1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14422AD"/>
    <w:multiLevelType w:val="hybridMultilevel"/>
    <w:tmpl w:val="F77AAD8C"/>
    <w:lvl w:ilvl="0" w:tplc="259AE804">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26DD1FF1"/>
    <w:multiLevelType w:val="hybridMultilevel"/>
    <w:tmpl w:val="42C4D1EE"/>
    <w:lvl w:ilvl="0" w:tplc="C60AFC1C">
      <w:start w:val="1"/>
      <w:numFmt w:val="decimal"/>
      <w:lvlText w:val="%1."/>
      <w:lvlJc w:val="left"/>
      <w:pPr>
        <w:ind w:left="286"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E9F4300"/>
    <w:multiLevelType w:val="hybridMultilevel"/>
    <w:tmpl w:val="5D808AD2"/>
    <w:lvl w:ilvl="0" w:tplc="30C2D4E0">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AE627DE"/>
    <w:multiLevelType w:val="hybridMultilevel"/>
    <w:tmpl w:val="C82CF24A"/>
    <w:lvl w:ilvl="0" w:tplc="1B12C2D4">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743764"/>
    <w:multiLevelType w:val="hybridMultilevel"/>
    <w:tmpl w:val="C8224794"/>
    <w:lvl w:ilvl="0" w:tplc="470AC0B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CC4BA9"/>
    <w:multiLevelType w:val="hybridMultilevel"/>
    <w:tmpl w:val="BDC6E946"/>
    <w:lvl w:ilvl="0" w:tplc="60B21C56">
      <w:start w:val="1"/>
      <w:numFmt w:val="lowerLetter"/>
      <w:lvlText w:val="%1."/>
      <w:lvlJc w:val="left"/>
      <w:pPr>
        <w:ind w:left="720" w:hanging="360"/>
      </w:pPr>
      <w:rPr>
        <w:rFonts w:hint="eastAsia"/>
        <w:b/>
        <w:strike w:val="0"/>
        <w:sz w:val="24"/>
        <w:szCs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595A188A"/>
    <w:multiLevelType w:val="hybridMultilevel"/>
    <w:tmpl w:val="28188732"/>
    <w:lvl w:ilvl="0" w:tplc="140A0001">
      <w:start w:val="1"/>
      <w:numFmt w:val="bullet"/>
      <w:lvlText w:val=""/>
      <w:lvlJc w:val="left"/>
      <w:pPr>
        <w:ind w:left="1800" w:hanging="360"/>
      </w:pPr>
      <w:rPr>
        <w:rFonts w:ascii="Symbol" w:hAnsi="Symbol"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6" w15:restartNumberingAfterBreak="0">
    <w:nsid w:val="5AAD6999"/>
    <w:multiLevelType w:val="hybridMultilevel"/>
    <w:tmpl w:val="BBAEB060"/>
    <w:lvl w:ilvl="0" w:tplc="EB12AC24">
      <w:start w:val="1"/>
      <w:numFmt w:val="decimal"/>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9"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0"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0CC030D"/>
    <w:multiLevelType w:val="multilevel"/>
    <w:tmpl w:val="34560DC2"/>
    <w:lvl w:ilvl="0">
      <w:start w:val="1"/>
      <w:numFmt w:val="decimal"/>
      <w:lvlText w:val="%1."/>
      <w:lvlJc w:val="left"/>
      <w:pPr>
        <w:ind w:left="360" w:hanging="360"/>
      </w:pPr>
      <w:rPr>
        <w:b/>
        <w:color w:val="FF0000"/>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2"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260DAC"/>
    <w:multiLevelType w:val="hybridMultilevel"/>
    <w:tmpl w:val="12743CDC"/>
    <w:lvl w:ilvl="0" w:tplc="33442FB6">
      <w:start w:val="1"/>
      <w:numFmt w:val="decimal"/>
      <w:lvlText w:val="%1."/>
      <w:lvlJc w:val="left"/>
      <w:pPr>
        <w:ind w:left="286" w:hanging="360"/>
      </w:pPr>
      <w:rPr>
        <w:rFonts w:ascii="Arial" w:hAnsi="Arial" w:cs="Arial" w:hint="default"/>
        <w:b/>
        <w:i w:val="0"/>
        <w:sz w:val="24"/>
        <w:szCs w:val="24"/>
      </w:rPr>
    </w:lvl>
    <w:lvl w:ilvl="1" w:tplc="040A0019" w:tentative="1">
      <w:start w:val="1"/>
      <w:numFmt w:val="lowerLetter"/>
      <w:lvlText w:val="%2."/>
      <w:lvlJc w:val="left"/>
      <w:pPr>
        <w:ind w:left="1006" w:hanging="360"/>
      </w:pPr>
    </w:lvl>
    <w:lvl w:ilvl="2" w:tplc="040A001B" w:tentative="1">
      <w:start w:val="1"/>
      <w:numFmt w:val="lowerRoman"/>
      <w:lvlText w:val="%3."/>
      <w:lvlJc w:val="right"/>
      <w:pPr>
        <w:ind w:left="1726" w:hanging="180"/>
      </w:pPr>
    </w:lvl>
    <w:lvl w:ilvl="3" w:tplc="040A000F" w:tentative="1">
      <w:start w:val="1"/>
      <w:numFmt w:val="decimal"/>
      <w:lvlText w:val="%4."/>
      <w:lvlJc w:val="left"/>
      <w:pPr>
        <w:ind w:left="2446" w:hanging="360"/>
      </w:pPr>
    </w:lvl>
    <w:lvl w:ilvl="4" w:tplc="040A0019" w:tentative="1">
      <w:start w:val="1"/>
      <w:numFmt w:val="lowerLetter"/>
      <w:lvlText w:val="%5."/>
      <w:lvlJc w:val="left"/>
      <w:pPr>
        <w:ind w:left="3166" w:hanging="360"/>
      </w:pPr>
    </w:lvl>
    <w:lvl w:ilvl="5" w:tplc="040A001B" w:tentative="1">
      <w:start w:val="1"/>
      <w:numFmt w:val="lowerRoman"/>
      <w:lvlText w:val="%6."/>
      <w:lvlJc w:val="right"/>
      <w:pPr>
        <w:ind w:left="3886" w:hanging="180"/>
      </w:pPr>
    </w:lvl>
    <w:lvl w:ilvl="6" w:tplc="040A000F" w:tentative="1">
      <w:start w:val="1"/>
      <w:numFmt w:val="decimal"/>
      <w:lvlText w:val="%7."/>
      <w:lvlJc w:val="left"/>
      <w:pPr>
        <w:ind w:left="4606" w:hanging="360"/>
      </w:pPr>
    </w:lvl>
    <w:lvl w:ilvl="7" w:tplc="040A0019" w:tentative="1">
      <w:start w:val="1"/>
      <w:numFmt w:val="lowerLetter"/>
      <w:lvlText w:val="%8."/>
      <w:lvlJc w:val="left"/>
      <w:pPr>
        <w:ind w:left="5326" w:hanging="360"/>
      </w:pPr>
    </w:lvl>
    <w:lvl w:ilvl="8" w:tplc="040A001B" w:tentative="1">
      <w:start w:val="1"/>
      <w:numFmt w:val="lowerRoman"/>
      <w:lvlText w:val="%9."/>
      <w:lvlJc w:val="right"/>
      <w:pPr>
        <w:ind w:left="6046" w:hanging="180"/>
      </w:pPr>
    </w:lvl>
  </w:abstractNum>
  <w:abstractNum w:abstractNumId="45"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6"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7"/>
  </w:num>
  <w:num w:numId="3">
    <w:abstractNumId w:val="27"/>
  </w:num>
  <w:num w:numId="4">
    <w:abstractNumId w:val="2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num>
  <w:num w:numId="9">
    <w:abstractNumId w:val="24"/>
  </w:num>
  <w:num w:numId="10">
    <w:abstractNumId w:val="39"/>
  </w:num>
  <w:num w:numId="11">
    <w:abstractNumId w:val="5"/>
  </w:num>
  <w:num w:numId="12">
    <w:abstractNumId w:val="14"/>
  </w:num>
  <w:num w:numId="13">
    <w:abstractNumId w:val="10"/>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3"/>
  </w:num>
  <w:num w:numId="17">
    <w:abstractNumId w:val="38"/>
  </w:num>
  <w:num w:numId="18">
    <w:abstractNumId w:val="3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5"/>
  </w:num>
  <w:num w:numId="22">
    <w:abstractNumId w:val="1"/>
  </w:num>
  <w:num w:numId="23">
    <w:abstractNumId w:val="9"/>
  </w:num>
  <w:num w:numId="24">
    <w:abstractNumId w:val="19"/>
  </w:num>
  <w:num w:numId="25">
    <w:abstractNumId w:val="0"/>
  </w:num>
  <w:num w:numId="26">
    <w:abstractNumId w:val="11"/>
  </w:num>
  <w:num w:numId="27">
    <w:abstractNumId w:val="40"/>
  </w:num>
  <w:num w:numId="28">
    <w:abstractNumId w:val="25"/>
  </w:num>
  <w:num w:numId="29">
    <w:abstractNumId w:val="34"/>
  </w:num>
  <w:num w:numId="30">
    <w:abstractNumId w:val="2"/>
  </w:num>
  <w:num w:numId="31">
    <w:abstractNumId w:val="46"/>
  </w:num>
  <w:num w:numId="32">
    <w:abstractNumId w:val="29"/>
  </w:num>
  <w:num w:numId="33">
    <w:abstractNumId w:val="16"/>
  </w:num>
  <w:num w:numId="34">
    <w:abstractNumId w:val="22"/>
  </w:num>
  <w:num w:numId="35">
    <w:abstractNumId w:val="3"/>
  </w:num>
  <w:num w:numId="36">
    <w:abstractNumId w:val="15"/>
  </w:num>
  <w:num w:numId="37">
    <w:abstractNumId w:val="13"/>
  </w:num>
  <w:num w:numId="38">
    <w:abstractNumId w:val="41"/>
  </w:num>
  <w:num w:numId="39">
    <w:abstractNumId w:val="7"/>
  </w:num>
  <w:num w:numId="40">
    <w:abstractNumId w:val="31"/>
  </w:num>
  <w:num w:numId="41">
    <w:abstractNumId w:val="35"/>
  </w:num>
  <w:num w:numId="42">
    <w:abstractNumId w:val="36"/>
  </w:num>
  <w:num w:numId="43">
    <w:abstractNumId w:val="47"/>
  </w:num>
  <w:num w:numId="44">
    <w:abstractNumId w:val="21"/>
  </w:num>
  <w:num w:numId="45">
    <w:abstractNumId w:val="28"/>
  </w:num>
  <w:num w:numId="46">
    <w:abstractNumId w:val="26"/>
  </w:num>
  <w:num w:numId="47">
    <w:abstractNumId w:val="44"/>
  </w:num>
  <w:num w:numId="48">
    <w:abstractNumId w:val="33"/>
  </w:num>
  <w:num w:numId="4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8B2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A0BC-1112-4BD6-987B-895809B1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934</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190</cp:revision>
  <cp:lastPrinted>2017-11-29T20:19:00Z</cp:lastPrinted>
  <dcterms:created xsi:type="dcterms:W3CDTF">2016-10-05T20:00:00Z</dcterms:created>
  <dcterms:modified xsi:type="dcterms:W3CDTF">2017-12-07T14:57:00Z</dcterms:modified>
</cp:coreProperties>
</file>