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91578A">
        <w:rPr>
          <w:rFonts w:ascii="Arial" w:hAnsi="Arial" w:cs="Arial"/>
          <w:b/>
          <w:bCs/>
          <w:iCs/>
          <w:sz w:val="26"/>
          <w:szCs w:val="22"/>
          <w:lang w:val="es-CR"/>
        </w:rPr>
        <w:t>948</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Default="00190010" w:rsidP="00337455">
            <w:pPr>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Julio Calvo Alvarado</w:t>
            </w:r>
            <w:r w:rsidR="0090700F" w:rsidRPr="00ED5B24">
              <w:rPr>
                <w:rFonts w:ascii="Arial" w:eastAsia="Cambria" w:hAnsi="Arial" w:cs="Arial"/>
                <w:sz w:val="20"/>
                <w:szCs w:val="20"/>
                <w:lang w:val="es-ES_tradnl" w:eastAsia="en-US"/>
              </w:rPr>
              <w:t>, Rector</w:t>
            </w:r>
          </w:p>
          <w:p w:rsidR="00323B63" w:rsidRPr="009332DA" w:rsidRDefault="00323B63" w:rsidP="00323B63">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Dr. Humberto Villalta, Vicerrector de Administración</w:t>
            </w:r>
          </w:p>
          <w:p w:rsidR="00323B63" w:rsidRPr="009332DA" w:rsidRDefault="00323B63" w:rsidP="00323B63">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Ing. Luis Paulino Méndez</w:t>
            </w:r>
            <w:r w:rsidRPr="009332DA">
              <w:rPr>
                <w:rFonts w:ascii="Arial" w:eastAsia="Cambria" w:hAnsi="Arial" w:cs="Arial"/>
                <w:sz w:val="20"/>
                <w:szCs w:val="20"/>
                <w:lang w:val="es-ES_tradnl" w:eastAsia="en-US"/>
              </w:rPr>
              <w:t>, Vicerrector de Docencia</w:t>
            </w:r>
          </w:p>
          <w:p w:rsidR="00323B63" w:rsidRPr="009332DA" w:rsidRDefault="00323B63" w:rsidP="00323B63">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Dra. Paola Vega, Vicerrectora de Investigación y Extensión </w:t>
            </w:r>
          </w:p>
          <w:p w:rsidR="00323B63" w:rsidRPr="009332DA" w:rsidRDefault="00323B63" w:rsidP="00323B63">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Dra. Claudia Madrizova, Vicerrectora de Vida Estudiantil y Servicios Académicos </w:t>
            </w:r>
          </w:p>
          <w:p w:rsidR="00323B63" w:rsidRPr="009332DA" w:rsidRDefault="00323B63" w:rsidP="00323B63">
            <w:pPr>
              <w:ind w:left="45"/>
              <w:jc w:val="both"/>
              <w:rPr>
                <w:rFonts w:ascii="Arial" w:eastAsia="Cambria" w:hAnsi="Arial" w:cs="Arial"/>
                <w:sz w:val="20"/>
                <w:szCs w:val="20"/>
                <w:lang w:val="es-ES_tradnl" w:eastAsia="en-US"/>
              </w:rPr>
            </w:pPr>
            <w:proofErr w:type="spellStart"/>
            <w:r w:rsidRPr="009332DA">
              <w:rPr>
                <w:rFonts w:ascii="Arial" w:eastAsia="Cambria" w:hAnsi="Arial" w:cs="Arial"/>
                <w:sz w:val="20"/>
                <w:szCs w:val="20"/>
                <w:lang w:val="es-ES_tradnl" w:eastAsia="en-US"/>
              </w:rPr>
              <w:t>M.Sc</w:t>
            </w:r>
            <w:proofErr w:type="spellEnd"/>
            <w:r w:rsidRPr="009332DA">
              <w:rPr>
                <w:rFonts w:ascii="Arial" w:eastAsia="Cambria" w:hAnsi="Arial" w:cs="Arial"/>
                <w:sz w:val="20"/>
                <w:szCs w:val="20"/>
                <w:lang w:val="es-ES_tradnl" w:eastAsia="en-US"/>
              </w:rPr>
              <w:t>. Edgardo Vargas, Director Sede Regional San Carlos</w:t>
            </w:r>
          </w:p>
          <w:p w:rsidR="00323B63" w:rsidRPr="009332DA" w:rsidRDefault="00323B63" w:rsidP="00323B63">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Máster Ronald Bonilla, Director </w:t>
            </w:r>
            <w:proofErr w:type="spellStart"/>
            <w:r w:rsidRPr="009332DA">
              <w:rPr>
                <w:rFonts w:ascii="Arial" w:eastAsia="Cambria" w:hAnsi="Arial" w:cs="Arial"/>
                <w:sz w:val="20"/>
                <w:szCs w:val="20"/>
                <w:lang w:val="es-ES_tradnl" w:eastAsia="en-US"/>
              </w:rPr>
              <w:t>a.i.</w:t>
            </w:r>
            <w:proofErr w:type="spellEnd"/>
            <w:r w:rsidRPr="009332DA">
              <w:rPr>
                <w:rFonts w:ascii="Arial" w:eastAsia="Cambria" w:hAnsi="Arial" w:cs="Arial"/>
                <w:sz w:val="20"/>
                <w:szCs w:val="20"/>
                <w:lang w:val="es-ES_tradnl" w:eastAsia="en-US"/>
              </w:rPr>
              <w:t xml:space="preserve"> Centro Académico de San José</w:t>
            </w:r>
          </w:p>
          <w:p w:rsidR="00323B63" w:rsidRPr="009332DA" w:rsidRDefault="00323B63" w:rsidP="00323B63">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Dr. Roberto Pereira, Director Centro Académico de Alajuela</w:t>
            </w:r>
          </w:p>
          <w:p w:rsidR="00323B63" w:rsidRPr="009332DA" w:rsidRDefault="00323B63" w:rsidP="00323B63">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Ing. Jean Carlo Miranda</w:t>
            </w:r>
            <w:r w:rsidRPr="009332DA">
              <w:rPr>
                <w:rFonts w:ascii="Arial" w:eastAsia="Cambria" w:hAnsi="Arial" w:cs="Arial"/>
                <w:sz w:val="20"/>
                <w:szCs w:val="20"/>
                <w:lang w:val="es-ES_tradnl" w:eastAsia="en-US"/>
              </w:rPr>
              <w:t>, Director</w:t>
            </w:r>
            <w:r>
              <w:rPr>
                <w:rFonts w:ascii="Arial" w:eastAsia="Cambria" w:hAnsi="Arial" w:cs="Arial"/>
                <w:sz w:val="20"/>
                <w:szCs w:val="20"/>
                <w:lang w:val="es-ES_tradnl" w:eastAsia="en-US"/>
              </w:rPr>
              <w:t xml:space="preserve"> </w:t>
            </w:r>
            <w:proofErr w:type="spellStart"/>
            <w:r w:rsidRPr="009332DA">
              <w:rPr>
                <w:rFonts w:ascii="Arial" w:eastAsia="Cambria" w:hAnsi="Arial" w:cs="Arial"/>
                <w:sz w:val="20"/>
                <w:szCs w:val="20"/>
                <w:lang w:val="es-ES_tradnl" w:eastAsia="en-US"/>
              </w:rPr>
              <w:t>a</w:t>
            </w:r>
            <w:r>
              <w:rPr>
                <w:rFonts w:ascii="Arial" w:eastAsia="Cambria" w:hAnsi="Arial" w:cs="Arial"/>
                <w:sz w:val="20"/>
                <w:szCs w:val="20"/>
                <w:lang w:val="es-ES_tradnl" w:eastAsia="en-US"/>
              </w:rPr>
              <w:t>.i.</w:t>
            </w:r>
            <w:proofErr w:type="spellEnd"/>
            <w:r w:rsidRPr="009332DA">
              <w:rPr>
                <w:rFonts w:ascii="Arial" w:eastAsia="Cambria" w:hAnsi="Arial" w:cs="Arial"/>
                <w:sz w:val="20"/>
                <w:szCs w:val="20"/>
                <w:lang w:val="es-ES_tradnl" w:eastAsia="en-US"/>
              </w:rPr>
              <w:t xml:space="preserve"> Centro Académico de Limón</w:t>
            </w:r>
          </w:p>
          <w:p w:rsidR="00323B63" w:rsidRDefault="00323B63" w:rsidP="00323B63">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MAU. Tatiana Fernández, Directora Oficina de Planificación Institucional </w:t>
            </w:r>
          </w:p>
          <w:p w:rsidR="00323B63" w:rsidRPr="00ED5B24" w:rsidRDefault="00323B63" w:rsidP="00323B63">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Licda. Silvia Watson, Directora Departamento Financiero Contable</w:t>
            </w:r>
          </w:p>
          <w:p w:rsidR="00793F58" w:rsidRDefault="0091578A" w:rsidP="0091578A">
            <w:pPr>
              <w:ind w:left="45"/>
              <w:jc w:val="both"/>
              <w:rPr>
                <w:rFonts w:ascii="Arial" w:eastAsia="Cambria" w:hAnsi="Arial" w:cs="Arial"/>
                <w:sz w:val="20"/>
                <w:szCs w:val="20"/>
                <w:lang w:val="es-ES_tradnl" w:eastAsia="en-US"/>
              </w:rPr>
            </w:pPr>
            <w:r w:rsidRPr="00323B63">
              <w:rPr>
                <w:rFonts w:ascii="Arial" w:eastAsia="Cambria" w:hAnsi="Arial" w:cs="Arial"/>
                <w:sz w:val="20"/>
                <w:szCs w:val="20"/>
                <w:lang w:val="es-ES_tradnl" w:eastAsia="en-US"/>
              </w:rPr>
              <w:t>Lic. Isidro Álvarez, Auditor Interno</w:t>
            </w:r>
          </w:p>
          <w:p w:rsidR="00323B63" w:rsidRPr="00323B63" w:rsidRDefault="00323B63" w:rsidP="0091578A">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 xml:space="preserve">Licda. Grettel Ortiz, Directora Oficina Asesoría Legal </w:t>
            </w:r>
          </w:p>
          <w:p w:rsidR="0091578A" w:rsidRPr="000F473C" w:rsidRDefault="0091578A" w:rsidP="0091578A">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w:t>
            </w:r>
            <w:r w:rsidR="00224C36">
              <w:rPr>
                <w:rFonts w:ascii="Arial" w:eastAsia="Cambria" w:hAnsi="Arial" w:cs="Arial"/>
                <w:sz w:val="22"/>
                <w:szCs w:val="22"/>
                <w:lang w:val="es-ES_tradnl" w:eastAsia="en-US"/>
              </w:rPr>
              <w:t>s</w:t>
            </w:r>
            <w:r>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E27CB3"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13</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7F28ED">
              <w:rPr>
                <w:rFonts w:ascii="Arial" w:eastAsia="Cambria" w:hAnsi="Arial" w:cs="Arial"/>
                <w:b/>
                <w:sz w:val="22"/>
                <w:szCs w:val="22"/>
                <w:lang w:val="es-ES_tradnl" w:eastAsia="en-US"/>
              </w:rPr>
              <w:t>dic</w:t>
            </w:r>
            <w:r w:rsidR="00841F61">
              <w:rPr>
                <w:rFonts w:ascii="Arial" w:eastAsia="Cambria" w:hAnsi="Arial" w:cs="Arial"/>
                <w:b/>
                <w:sz w:val="22"/>
                <w:szCs w:val="22"/>
                <w:lang w:val="es-ES_tradnl" w:eastAsia="en-US"/>
              </w:rPr>
              <w:t>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7F28ED" w:rsidRPr="00E27CB3" w:rsidRDefault="007742A1" w:rsidP="007F28ED">
            <w:pPr>
              <w:pStyle w:val="Prrafodelista"/>
              <w:ind w:left="-31"/>
              <w:jc w:val="both"/>
              <w:rPr>
                <w:rFonts w:ascii="Arial" w:eastAsia="Cambria" w:hAnsi="Arial" w:cs="Arial"/>
                <w:b/>
                <w:sz w:val="22"/>
                <w:szCs w:val="22"/>
                <w:highlight w:val="yellow"/>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7F28ED">
              <w:rPr>
                <w:rFonts w:ascii="Arial" w:eastAsia="Calibri" w:hAnsi="Arial" w:cs="Arial"/>
                <w:b/>
                <w:sz w:val="22"/>
                <w:szCs w:val="22"/>
              </w:rPr>
              <w:t>5</w:t>
            </w:r>
            <w:r w:rsidR="00E27CB3">
              <w:rPr>
                <w:rFonts w:ascii="Arial" w:eastAsia="Calibri" w:hAnsi="Arial" w:cs="Arial"/>
                <w:b/>
                <w:sz w:val="22"/>
                <w:szCs w:val="22"/>
              </w:rPr>
              <w:t>1</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0F5C99">
              <w:rPr>
                <w:rFonts w:ascii="Arial" w:eastAsia="Calibri" w:hAnsi="Arial" w:cs="Arial"/>
                <w:b/>
                <w:sz w:val="22"/>
                <w:szCs w:val="22"/>
              </w:rPr>
              <w:t>1</w:t>
            </w:r>
            <w:r w:rsidR="00EF1E98">
              <w:rPr>
                <w:rFonts w:ascii="Arial" w:eastAsia="Calibri" w:hAnsi="Arial" w:cs="Arial"/>
                <w:b/>
                <w:sz w:val="22"/>
                <w:szCs w:val="22"/>
              </w:rPr>
              <w:t>5</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E27CB3">
              <w:rPr>
                <w:rFonts w:ascii="Arial" w:eastAsia="Calibri" w:hAnsi="Arial" w:cs="Arial"/>
                <w:b/>
                <w:sz w:val="22"/>
                <w:szCs w:val="22"/>
              </w:rPr>
              <w:t>13</w:t>
            </w:r>
            <w:r w:rsidRPr="00267FAF">
              <w:rPr>
                <w:rFonts w:ascii="Arial" w:eastAsia="Calibri" w:hAnsi="Arial" w:cs="Arial"/>
                <w:b/>
                <w:sz w:val="22"/>
                <w:szCs w:val="22"/>
              </w:rPr>
              <w:t xml:space="preserve"> de </w:t>
            </w:r>
            <w:r w:rsidR="007F28ED">
              <w:rPr>
                <w:rFonts w:ascii="Arial" w:eastAsia="Calibri" w:hAnsi="Arial" w:cs="Arial"/>
                <w:b/>
                <w:sz w:val="22"/>
                <w:szCs w:val="22"/>
              </w:rPr>
              <w:t>dic</w:t>
            </w:r>
            <w:r w:rsidR="00841F61">
              <w:rPr>
                <w:rFonts w:ascii="Arial" w:eastAsia="Calibri" w:hAnsi="Arial" w:cs="Arial"/>
                <w:b/>
                <w:sz w:val="22"/>
                <w:szCs w:val="22"/>
              </w:rPr>
              <w:t>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E27CB3" w:rsidRPr="00E27CB3">
              <w:rPr>
                <w:rFonts w:ascii="Arial" w:eastAsia="Cambria" w:hAnsi="Arial" w:cs="Arial"/>
                <w:b/>
                <w:bCs/>
                <w:sz w:val="22"/>
                <w:szCs w:val="22"/>
                <w:lang w:val="es-CR" w:eastAsia="en-US"/>
              </w:rPr>
              <w:t>Eliminación del numeral 34 de las “Normas de Presupuesto del Instituto Tecnológico de Costa Rica”</w:t>
            </w:r>
          </w:p>
          <w:p w:rsidR="007F28ED" w:rsidRPr="007F1052" w:rsidRDefault="007F28ED" w:rsidP="007F28ED">
            <w:pPr>
              <w:pStyle w:val="Prrafodelista"/>
              <w:ind w:left="-31"/>
              <w:jc w:val="both"/>
              <w:rPr>
                <w:rFonts w:ascii="Arial" w:eastAsia="Cambria" w:hAnsi="Arial" w:cs="Arial"/>
                <w:b/>
                <w:sz w:val="20"/>
                <w:szCs w:val="20"/>
                <w:highlight w:val="yellow"/>
                <w:lang w:val="es-CR" w:eastAsia="en-US"/>
              </w:rPr>
            </w:pPr>
          </w:p>
        </w:tc>
      </w:tr>
    </w:tbl>
    <w:p w:rsidR="0091578A" w:rsidRDefault="007742A1" w:rsidP="0091578A">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w:t>
      </w:r>
      <w:r w:rsidR="0091578A" w:rsidRPr="00D958BC">
        <w:rPr>
          <w:rFonts w:ascii="Arial" w:eastAsia="Cambria" w:hAnsi="Arial" w:cs="Arial"/>
          <w:lang w:val="es-ES_tradnl" w:eastAsia="en-US"/>
        </w:rPr>
        <w:t>nal, citado en la referencia, el cual dice:</w:t>
      </w:r>
    </w:p>
    <w:p w:rsidR="0091578A" w:rsidRDefault="0091578A" w:rsidP="0091578A">
      <w:pPr>
        <w:ind w:left="1418" w:hanging="1418"/>
        <w:jc w:val="both"/>
        <w:rPr>
          <w:rFonts w:ascii="Arial" w:hAnsi="Arial" w:cs="Arial"/>
          <w:b/>
          <w:bCs/>
          <w:lang w:val="es-CR"/>
        </w:rPr>
      </w:pPr>
      <w:r w:rsidRPr="0091578A">
        <w:rPr>
          <w:rFonts w:ascii="Arial" w:hAnsi="Arial" w:cs="Arial"/>
          <w:b/>
          <w:bCs/>
          <w:lang w:val="es-CR"/>
        </w:rPr>
        <w:t xml:space="preserve"> </w:t>
      </w:r>
    </w:p>
    <w:p w:rsidR="0091578A" w:rsidRPr="0091578A" w:rsidRDefault="0091578A" w:rsidP="0091578A">
      <w:pPr>
        <w:ind w:left="1418" w:hanging="1418"/>
        <w:jc w:val="both"/>
        <w:rPr>
          <w:rFonts w:ascii="Arial" w:hAnsi="Arial" w:cs="Arial"/>
          <w:b/>
          <w:bCs/>
          <w:lang w:val="es-CR"/>
        </w:rPr>
      </w:pPr>
      <w:r w:rsidRPr="0091578A">
        <w:rPr>
          <w:rFonts w:ascii="Arial" w:hAnsi="Arial" w:cs="Arial"/>
          <w:b/>
          <w:bCs/>
          <w:lang w:val="es-CR"/>
        </w:rPr>
        <w:t>RESULTANDO QUE:</w:t>
      </w:r>
    </w:p>
    <w:p w:rsidR="0091578A" w:rsidRPr="0091578A" w:rsidRDefault="0091578A" w:rsidP="0091578A">
      <w:pPr>
        <w:ind w:left="1418" w:hanging="1418"/>
        <w:jc w:val="both"/>
        <w:rPr>
          <w:rFonts w:ascii="Arial" w:hAnsi="Arial" w:cs="Arial"/>
          <w:b/>
          <w:bCs/>
          <w:lang w:val="es-CR"/>
        </w:rPr>
      </w:pPr>
    </w:p>
    <w:p w:rsidR="0091578A" w:rsidRPr="0091578A" w:rsidRDefault="0091578A" w:rsidP="0006621B">
      <w:pPr>
        <w:numPr>
          <w:ilvl w:val="0"/>
          <w:numId w:val="4"/>
        </w:numPr>
        <w:jc w:val="both"/>
        <w:rPr>
          <w:rFonts w:ascii="Arial" w:hAnsi="Arial" w:cs="Arial"/>
          <w:b/>
          <w:color w:val="000000"/>
          <w:lang w:val="es-CR"/>
        </w:rPr>
      </w:pPr>
      <w:r w:rsidRPr="0091578A">
        <w:rPr>
          <w:rFonts w:ascii="Arial" w:hAnsi="Arial" w:cs="Arial"/>
          <w:bCs/>
          <w:color w:val="000000"/>
          <w:lang w:val="es-CR"/>
        </w:rPr>
        <w:t xml:space="preserve">De acuerdo con el artículo 18, inciso f, del Estatuto Orgánico del Instituto Tecnológico de Costa Rica, </w:t>
      </w:r>
      <w:r w:rsidRPr="0091578A">
        <w:rPr>
          <w:rFonts w:ascii="Arial" w:hAnsi="Arial" w:cs="Arial"/>
          <w:color w:val="000000"/>
          <w:lang w:val="es-CR"/>
        </w:rPr>
        <w:t>es función del Consejo Institucional “Aprobar, promulgar y modificar los regla</w:t>
      </w:r>
      <w:r w:rsidRPr="0091578A">
        <w:rPr>
          <w:rFonts w:ascii="Arial" w:hAnsi="Arial" w:cs="Arial"/>
          <w:color w:val="000000"/>
          <w:lang w:val="es-CR"/>
        </w:rPr>
        <w:softHyphen/>
        <w:t>mentos generales necesarios para el funcionamiento del Instituto…”</w:t>
      </w:r>
    </w:p>
    <w:p w:rsidR="0091578A" w:rsidRPr="0091578A" w:rsidRDefault="0091578A" w:rsidP="0091578A">
      <w:pPr>
        <w:jc w:val="both"/>
        <w:outlineLvl w:val="0"/>
        <w:rPr>
          <w:rFonts w:ascii="Arial" w:hAnsi="Arial" w:cs="Arial"/>
          <w:b/>
          <w:lang w:val="es-CR"/>
        </w:rPr>
      </w:pPr>
    </w:p>
    <w:p w:rsidR="0091578A" w:rsidRPr="0091578A" w:rsidRDefault="0091578A" w:rsidP="0006621B">
      <w:pPr>
        <w:numPr>
          <w:ilvl w:val="0"/>
          <w:numId w:val="4"/>
        </w:numPr>
        <w:jc w:val="both"/>
        <w:rPr>
          <w:rFonts w:ascii="Arial" w:hAnsi="Arial" w:cs="Arial"/>
          <w:bCs/>
          <w:color w:val="000000"/>
          <w:lang w:val="es-CR"/>
        </w:rPr>
      </w:pPr>
      <w:r w:rsidRPr="0091578A">
        <w:rPr>
          <w:rFonts w:ascii="Arial" w:hAnsi="Arial" w:cs="Arial"/>
          <w:bCs/>
          <w:color w:val="000000"/>
          <w:lang w:val="es-CR"/>
        </w:rPr>
        <w:t>El artículo 21 de la “Ley General de Control Interno” (No. 8292) establece lo siguiente:</w:t>
      </w:r>
    </w:p>
    <w:p w:rsidR="0091578A" w:rsidRPr="0091578A" w:rsidRDefault="0091578A" w:rsidP="0091578A">
      <w:pPr>
        <w:jc w:val="both"/>
        <w:rPr>
          <w:rFonts w:ascii="Arial" w:hAnsi="Arial" w:cs="Arial"/>
          <w:bCs/>
          <w:color w:val="000000"/>
          <w:lang w:val="es-CR"/>
        </w:rPr>
      </w:pPr>
    </w:p>
    <w:p w:rsidR="0091578A" w:rsidRPr="0091578A" w:rsidRDefault="0091578A" w:rsidP="0091578A">
      <w:pPr>
        <w:tabs>
          <w:tab w:val="left" w:pos="709"/>
        </w:tabs>
        <w:ind w:left="567" w:right="448"/>
        <w:jc w:val="both"/>
        <w:rPr>
          <w:rFonts w:ascii="Arial" w:hAnsi="Arial" w:cs="Arial"/>
          <w:i/>
          <w:sz w:val="22"/>
          <w:szCs w:val="22"/>
          <w:lang w:val="es-CR"/>
        </w:rPr>
      </w:pPr>
      <w:r w:rsidRPr="0091578A">
        <w:rPr>
          <w:rFonts w:ascii="Arial" w:hAnsi="Arial" w:cs="Arial"/>
          <w:b/>
          <w:bCs/>
          <w:i/>
          <w:sz w:val="22"/>
          <w:szCs w:val="22"/>
          <w:lang w:val="es-CR"/>
        </w:rPr>
        <w:t>Concepto funcional de auditoría interna</w:t>
      </w:r>
      <w:r w:rsidRPr="0091578A">
        <w:rPr>
          <w:rFonts w:ascii="Arial" w:hAnsi="Arial" w:cs="Arial"/>
          <w:i/>
          <w:sz w:val="22"/>
          <w:szCs w:val="22"/>
          <w:lang w:val="es-CR"/>
        </w:rPr>
        <w:t>. La auditoría interna es la actividad independiente, objetiva y asesora, que proporciona seguridad al ente u órgano, puesto que se crea para validar y mejorar sus operaciones. Contribuye a que se alcancen los objetivos institucionales, mediante la práctica de un enfoque sistémico y profesional para evaluar y mejorar la efectividad de la administración del riesgo, del control y de los procesos de dirección en las entidades y los órganos sujetos a esta Ley. Dentro de una organización, la auditoría interna proporciona a la ciudadanía una garantía razonable de que la actuación del jerarca y la del resto, de la administración se ejecuta conforme al marco legal y técnico y a las prácticas sanas.</w:t>
      </w:r>
    </w:p>
    <w:p w:rsidR="0091578A" w:rsidRPr="0091578A" w:rsidRDefault="0091578A" w:rsidP="0091578A">
      <w:pPr>
        <w:rPr>
          <w:rFonts w:ascii="Arial" w:hAnsi="Arial" w:cs="Arial"/>
          <w:bCs/>
          <w:color w:val="000000"/>
          <w:lang w:val="es-CR"/>
        </w:rPr>
      </w:pPr>
    </w:p>
    <w:p w:rsidR="0091578A" w:rsidRPr="0091578A" w:rsidRDefault="0091578A" w:rsidP="0006621B">
      <w:pPr>
        <w:numPr>
          <w:ilvl w:val="0"/>
          <w:numId w:val="4"/>
        </w:numPr>
        <w:jc w:val="both"/>
        <w:rPr>
          <w:rFonts w:ascii="Arial" w:hAnsi="Arial" w:cs="Arial"/>
          <w:bCs/>
          <w:color w:val="000000"/>
          <w:lang w:val="es-CR"/>
        </w:rPr>
      </w:pPr>
      <w:r w:rsidRPr="0091578A">
        <w:rPr>
          <w:rFonts w:ascii="Arial" w:hAnsi="Arial" w:cs="Arial"/>
          <w:bCs/>
          <w:color w:val="000000"/>
          <w:lang w:val="es-CR"/>
        </w:rPr>
        <w:t>El Consejo Institucional aprobó en la Sesión No.1887, artículo 13, del 30 de mayo de 1996, las “Normas de Presupuesto del Instituto Tecnológico de Costa Rica”, que disponen en el numeral 34 lo siguiente:</w:t>
      </w:r>
    </w:p>
    <w:p w:rsidR="0091578A" w:rsidRPr="0091578A" w:rsidRDefault="0091578A" w:rsidP="0091578A">
      <w:pPr>
        <w:jc w:val="both"/>
        <w:rPr>
          <w:rFonts w:ascii="Arial" w:hAnsi="Arial" w:cs="Arial"/>
          <w:color w:val="000000"/>
          <w:sz w:val="22"/>
          <w:szCs w:val="22"/>
        </w:rPr>
      </w:pPr>
    </w:p>
    <w:p w:rsidR="0091578A" w:rsidRPr="0091578A" w:rsidRDefault="0091578A" w:rsidP="0091578A">
      <w:pPr>
        <w:tabs>
          <w:tab w:val="left" w:pos="709"/>
        </w:tabs>
        <w:ind w:left="567" w:right="448"/>
        <w:jc w:val="both"/>
        <w:rPr>
          <w:rFonts w:ascii="Arial" w:hAnsi="Arial" w:cs="Arial"/>
          <w:bCs/>
          <w:i/>
          <w:sz w:val="22"/>
          <w:szCs w:val="22"/>
          <w:lang w:val="es-CR"/>
        </w:rPr>
      </w:pPr>
      <w:r w:rsidRPr="0091578A">
        <w:rPr>
          <w:rFonts w:ascii="Arial" w:hAnsi="Arial" w:cs="Arial"/>
          <w:bCs/>
          <w:i/>
          <w:sz w:val="22"/>
          <w:szCs w:val="22"/>
          <w:lang w:val="es-CR"/>
        </w:rPr>
        <w:t>El Presupuesto Ordinario, los Presupuestos Extraordinarios, las Modificaciones Externas e Internas, la Liquidación Presupuestaria y los informes de ejecución trimestral, deben ser presentados a la Auditoría Interna, por la Vicerrectoría de Administración en un plazo de 5 días hábiles antes de su presentación al Consejo Institucional. La Auditoría Interna emitirá el dictamen correspondiente y lo hará llegar al Consejo Institucional.</w:t>
      </w:r>
    </w:p>
    <w:p w:rsidR="0091578A" w:rsidRPr="0091578A" w:rsidRDefault="0091578A" w:rsidP="0091578A">
      <w:pPr>
        <w:tabs>
          <w:tab w:val="left" w:pos="709"/>
        </w:tabs>
        <w:ind w:left="567" w:right="448"/>
        <w:jc w:val="both"/>
        <w:rPr>
          <w:rFonts w:ascii="Arial" w:hAnsi="Arial" w:cs="Arial"/>
          <w:bCs/>
          <w:i/>
          <w:sz w:val="22"/>
          <w:szCs w:val="22"/>
          <w:lang w:val="es-CR"/>
        </w:rPr>
      </w:pPr>
    </w:p>
    <w:p w:rsidR="0091578A" w:rsidRPr="0091578A" w:rsidRDefault="0091578A" w:rsidP="0091578A">
      <w:pPr>
        <w:ind w:left="284"/>
        <w:jc w:val="both"/>
        <w:rPr>
          <w:rFonts w:ascii="Arial" w:hAnsi="Arial" w:cs="Arial"/>
          <w:color w:val="000000"/>
          <w:lang w:val="es-CR"/>
        </w:rPr>
      </w:pPr>
    </w:p>
    <w:p w:rsidR="0091578A" w:rsidRPr="0091578A" w:rsidRDefault="0091578A" w:rsidP="0006621B">
      <w:pPr>
        <w:numPr>
          <w:ilvl w:val="0"/>
          <w:numId w:val="4"/>
        </w:numPr>
        <w:jc w:val="both"/>
        <w:rPr>
          <w:rFonts w:ascii="Arial" w:hAnsi="Arial" w:cs="Arial"/>
          <w:bCs/>
          <w:color w:val="000000"/>
          <w:lang w:val="es-CR"/>
        </w:rPr>
      </w:pPr>
      <w:r w:rsidRPr="0091578A">
        <w:rPr>
          <w:rFonts w:ascii="Arial" w:hAnsi="Arial" w:cs="Arial"/>
          <w:bCs/>
          <w:color w:val="000000"/>
          <w:lang w:val="es-CR"/>
        </w:rPr>
        <w:t>En el oficio AUDI-157-2017, del 16 de agosto de 2017, el señor Auditor Interno Lic. Isidro Álvarez Salazar, ha indicado lo siguiente:</w:t>
      </w:r>
    </w:p>
    <w:p w:rsidR="0091578A" w:rsidRPr="0091578A" w:rsidRDefault="0091578A" w:rsidP="0091578A">
      <w:pPr>
        <w:jc w:val="both"/>
        <w:rPr>
          <w:rFonts w:ascii="Arial" w:hAnsi="Arial" w:cs="Arial"/>
          <w:bCs/>
          <w:color w:val="000000"/>
          <w:lang w:val="es-CR"/>
        </w:rPr>
      </w:pPr>
    </w:p>
    <w:p w:rsidR="0091578A" w:rsidRPr="0091578A" w:rsidRDefault="0091578A" w:rsidP="0091578A">
      <w:pPr>
        <w:tabs>
          <w:tab w:val="left" w:pos="709"/>
        </w:tabs>
        <w:ind w:left="567" w:right="448"/>
        <w:jc w:val="both"/>
        <w:rPr>
          <w:rFonts w:ascii="Arial" w:hAnsi="Arial" w:cs="Arial"/>
          <w:bCs/>
          <w:i/>
          <w:sz w:val="22"/>
          <w:szCs w:val="22"/>
          <w:lang w:val="es-CR"/>
        </w:rPr>
      </w:pPr>
      <w:r w:rsidRPr="0091578A">
        <w:rPr>
          <w:rFonts w:ascii="Arial" w:hAnsi="Arial" w:cs="Arial"/>
          <w:bCs/>
          <w:i/>
          <w:sz w:val="22"/>
          <w:szCs w:val="22"/>
          <w:lang w:val="es-CR"/>
        </w:rPr>
        <w:t xml:space="preserve">“La Ley General de Control Interno No. 8292, con vigencia a partir del 2002, define la actividad de auditoría interna como aquella independiente, objetiva y asesora que contribuye mediante la práctica de un enfoque sistémico y profesional, con la evaluación y mejora de la efectividad de la administración del riesgo, del control y de los procesos de dirección.  Se asigna a las Auditorías Internas del Sector Público, la responsabilidad de asesorar en materia de su competencia, al jerarca del cual depende. </w:t>
      </w:r>
    </w:p>
    <w:p w:rsidR="0091578A" w:rsidRPr="0091578A" w:rsidRDefault="0091578A" w:rsidP="0091578A">
      <w:pPr>
        <w:tabs>
          <w:tab w:val="left" w:pos="709"/>
        </w:tabs>
        <w:ind w:right="448"/>
        <w:jc w:val="both"/>
        <w:rPr>
          <w:rFonts w:ascii="Arial" w:hAnsi="Arial" w:cs="Arial"/>
          <w:bCs/>
          <w:i/>
          <w:sz w:val="22"/>
          <w:szCs w:val="22"/>
          <w:lang w:val="es-CR"/>
        </w:rPr>
      </w:pPr>
    </w:p>
    <w:p w:rsidR="0091578A" w:rsidRPr="0091578A" w:rsidRDefault="0091578A" w:rsidP="0091578A">
      <w:pPr>
        <w:tabs>
          <w:tab w:val="left" w:pos="709"/>
        </w:tabs>
        <w:ind w:left="567" w:right="448"/>
        <w:jc w:val="both"/>
        <w:rPr>
          <w:rFonts w:ascii="Arial" w:hAnsi="Arial" w:cs="Arial"/>
          <w:bCs/>
          <w:i/>
          <w:sz w:val="22"/>
          <w:szCs w:val="22"/>
          <w:lang w:val="es-CR"/>
        </w:rPr>
      </w:pPr>
      <w:r w:rsidRPr="0091578A">
        <w:rPr>
          <w:rFonts w:ascii="Arial" w:hAnsi="Arial" w:cs="Arial"/>
          <w:bCs/>
          <w:i/>
          <w:sz w:val="22"/>
          <w:szCs w:val="22"/>
          <w:lang w:val="es-CR"/>
        </w:rPr>
        <w:t xml:space="preserve">El servicio de asesoría se presta a solicitud de la parte interesada, o bien por iniciativa del Auditor Interno, quien define el procedimiento para hacerlo.   Esta Auditoría emitió la Directriz No. 011-2014 mediante la cual se </w:t>
      </w:r>
      <w:proofErr w:type="gramStart"/>
      <w:r w:rsidRPr="0091578A">
        <w:rPr>
          <w:rFonts w:ascii="Arial" w:hAnsi="Arial" w:cs="Arial"/>
          <w:bCs/>
          <w:i/>
          <w:sz w:val="22"/>
          <w:szCs w:val="22"/>
          <w:lang w:val="es-CR"/>
        </w:rPr>
        <w:t>adoptó  la</w:t>
      </w:r>
      <w:proofErr w:type="gramEnd"/>
      <w:r w:rsidRPr="0091578A">
        <w:rPr>
          <w:rFonts w:ascii="Arial" w:hAnsi="Arial" w:cs="Arial"/>
          <w:bCs/>
          <w:i/>
          <w:sz w:val="22"/>
          <w:szCs w:val="22"/>
          <w:lang w:val="es-CR"/>
        </w:rPr>
        <w:t xml:space="preserve">  “Guía Técnica sobre el Servicio de Asesoría de las Auditorías Internas del Sector Público” para cumplir con la responsabilidad de asesoría dada por ley y orienta tanto a los funcionarios de la Auditoría como a los usuarios del servicio que genera.</w:t>
      </w:r>
    </w:p>
    <w:p w:rsidR="0091578A" w:rsidRPr="0091578A" w:rsidRDefault="0091578A" w:rsidP="0091578A">
      <w:pPr>
        <w:tabs>
          <w:tab w:val="left" w:pos="709"/>
        </w:tabs>
        <w:ind w:left="567" w:right="448"/>
        <w:jc w:val="both"/>
        <w:rPr>
          <w:rFonts w:ascii="Arial" w:hAnsi="Arial" w:cs="Arial"/>
          <w:bCs/>
          <w:i/>
          <w:sz w:val="22"/>
          <w:szCs w:val="22"/>
          <w:lang w:val="es-CR"/>
        </w:rPr>
      </w:pPr>
    </w:p>
    <w:p w:rsidR="0091578A" w:rsidRPr="0091578A" w:rsidRDefault="0091578A" w:rsidP="0091578A">
      <w:pPr>
        <w:tabs>
          <w:tab w:val="left" w:pos="709"/>
        </w:tabs>
        <w:ind w:left="567" w:right="448"/>
        <w:jc w:val="both"/>
        <w:rPr>
          <w:rFonts w:ascii="Arial" w:hAnsi="Arial" w:cs="Arial"/>
          <w:bCs/>
          <w:i/>
          <w:sz w:val="22"/>
          <w:szCs w:val="22"/>
          <w:lang w:val="es-CR"/>
        </w:rPr>
      </w:pPr>
      <w:r w:rsidRPr="0091578A">
        <w:rPr>
          <w:rFonts w:ascii="Arial" w:hAnsi="Arial" w:cs="Arial"/>
          <w:bCs/>
          <w:i/>
          <w:sz w:val="22"/>
          <w:szCs w:val="22"/>
          <w:lang w:val="es-CR"/>
        </w:rPr>
        <w:t>El Consejo Institucional, con anterioridad a la promulgación de la Ley, aprueba en 1996, las Normas de Presupuesto del Instituto Tecnológico de Costa Rica; que dispone en el numeral 34 lo siguiente:</w:t>
      </w:r>
    </w:p>
    <w:p w:rsidR="0091578A" w:rsidRPr="0091578A" w:rsidRDefault="0091578A" w:rsidP="0091578A">
      <w:pPr>
        <w:tabs>
          <w:tab w:val="left" w:pos="709"/>
        </w:tabs>
        <w:ind w:left="567" w:right="448"/>
        <w:jc w:val="both"/>
        <w:rPr>
          <w:rFonts w:ascii="Arial" w:hAnsi="Arial" w:cs="Arial"/>
          <w:bCs/>
          <w:i/>
          <w:sz w:val="22"/>
          <w:szCs w:val="22"/>
          <w:lang w:val="es-CR"/>
        </w:rPr>
      </w:pPr>
    </w:p>
    <w:p w:rsidR="0091578A" w:rsidRPr="0091578A" w:rsidRDefault="0091578A" w:rsidP="0091578A">
      <w:pPr>
        <w:tabs>
          <w:tab w:val="left" w:pos="709"/>
        </w:tabs>
        <w:ind w:left="851" w:right="873"/>
        <w:jc w:val="both"/>
        <w:rPr>
          <w:rFonts w:ascii="Arial" w:hAnsi="Arial" w:cs="Arial"/>
          <w:bCs/>
          <w:i/>
          <w:sz w:val="22"/>
          <w:szCs w:val="22"/>
          <w:lang w:val="es-CR"/>
        </w:rPr>
      </w:pPr>
      <w:r w:rsidRPr="0091578A">
        <w:rPr>
          <w:rFonts w:ascii="Arial" w:hAnsi="Arial" w:cs="Arial"/>
          <w:bCs/>
          <w:i/>
          <w:sz w:val="22"/>
          <w:szCs w:val="22"/>
          <w:lang w:val="es-CR"/>
        </w:rPr>
        <w:t xml:space="preserve">El Presupuesto Ordinario, los Presupuestos Extraordinarios, las Modificaciones Externas e Internas, la Liquidación Presupuestaria y los informes de ejecución trimestral, </w:t>
      </w:r>
      <w:r w:rsidRPr="0091578A">
        <w:rPr>
          <w:rFonts w:ascii="Arial" w:hAnsi="Arial" w:cs="Arial"/>
          <w:b/>
          <w:bCs/>
          <w:i/>
          <w:sz w:val="22"/>
          <w:szCs w:val="22"/>
          <w:lang w:val="es-CR"/>
        </w:rPr>
        <w:t>deben ser presentados a la Auditoría Interna, por la Vicerrectoría de Administración en un plazo de 5 días hábiles antes de su presentación al Consejo Institucional. La Auditoría Interna emitirá el dictamen correspondiente y lo hará llegar al Consejo Institucional</w:t>
      </w:r>
      <w:r w:rsidRPr="0091578A">
        <w:rPr>
          <w:rFonts w:ascii="Arial" w:hAnsi="Arial" w:cs="Arial"/>
          <w:bCs/>
          <w:i/>
          <w:sz w:val="22"/>
          <w:szCs w:val="22"/>
          <w:lang w:val="es-CR"/>
        </w:rPr>
        <w:t>.” (El resaltado no es del original).</w:t>
      </w:r>
    </w:p>
    <w:p w:rsidR="0091578A" w:rsidRPr="0091578A" w:rsidRDefault="0091578A" w:rsidP="0091578A">
      <w:pPr>
        <w:tabs>
          <w:tab w:val="left" w:pos="709"/>
        </w:tabs>
        <w:ind w:left="567" w:right="448"/>
        <w:jc w:val="both"/>
        <w:rPr>
          <w:rFonts w:ascii="Calibri" w:hAnsi="Calibri" w:cs="Arial"/>
          <w:bCs/>
          <w:i/>
          <w:sz w:val="22"/>
          <w:szCs w:val="22"/>
          <w:lang w:val="es-CR"/>
        </w:rPr>
      </w:pPr>
    </w:p>
    <w:p w:rsidR="0091578A" w:rsidRPr="0091578A" w:rsidRDefault="0091578A" w:rsidP="0091578A">
      <w:pPr>
        <w:tabs>
          <w:tab w:val="left" w:pos="709"/>
        </w:tabs>
        <w:ind w:left="567" w:right="448"/>
        <w:jc w:val="both"/>
        <w:rPr>
          <w:rFonts w:ascii="Arial" w:hAnsi="Arial" w:cs="Arial"/>
          <w:bCs/>
          <w:i/>
          <w:sz w:val="22"/>
          <w:szCs w:val="22"/>
          <w:lang w:val="es-CR"/>
        </w:rPr>
      </w:pPr>
      <w:r w:rsidRPr="0091578A">
        <w:rPr>
          <w:rFonts w:ascii="Arial" w:hAnsi="Arial" w:cs="Arial"/>
          <w:bCs/>
          <w:i/>
          <w:sz w:val="22"/>
          <w:szCs w:val="22"/>
          <w:lang w:val="es-CR"/>
        </w:rPr>
        <w:t xml:space="preserve">La Auditoría Interna, en la medida de sus posibilidades, atiende la norma mediante la presentación de informes de asesoría para apoyar al Consejo Institucional o cualquier otra instancia en la toma de decisiones. No obstante, la norma presupuestaria citada no es clara en cuanto al objetivo y al alcance del dictamen al que se refiere y en algunos casos, la presentación tardía de los documentos presupuestarios limita la atención de la norma por parte de esta Auditoría. Aunado a lo anterior, la norma sugiere la asignación de una actividad administrativa a la Auditoría Interna, en detrimento de lo que establece el artículo 31 de la Ley General de Control Interno, en relación con la prohibición que tiene esta instancia asesora para atender ese tipo de actividades. </w:t>
      </w:r>
    </w:p>
    <w:p w:rsidR="0091578A" w:rsidRPr="0091578A" w:rsidRDefault="0091578A" w:rsidP="0091578A">
      <w:pPr>
        <w:tabs>
          <w:tab w:val="left" w:pos="709"/>
        </w:tabs>
        <w:ind w:left="567" w:right="448"/>
        <w:jc w:val="both"/>
        <w:rPr>
          <w:rFonts w:ascii="Arial" w:hAnsi="Arial" w:cs="Arial"/>
          <w:bCs/>
          <w:i/>
          <w:sz w:val="22"/>
          <w:szCs w:val="22"/>
          <w:lang w:val="es-CR"/>
        </w:rPr>
      </w:pPr>
    </w:p>
    <w:p w:rsidR="0091578A" w:rsidRPr="0091578A" w:rsidRDefault="0091578A" w:rsidP="0091578A">
      <w:pPr>
        <w:tabs>
          <w:tab w:val="left" w:pos="709"/>
        </w:tabs>
        <w:ind w:left="567" w:right="448"/>
        <w:jc w:val="both"/>
        <w:rPr>
          <w:rFonts w:ascii="Arial" w:hAnsi="Arial" w:cs="Arial"/>
          <w:bCs/>
          <w:i/>
          <w:sz w:val="22"/>
          <w:szCs w:val="22"/>
          <w:lang w:val="es-CR"/>
        </w:rPr>
      </w:pPr>
      <w:r w:rsidRPr="0091578A">
        <w:rPr>
          <w:rFonts w:ascii="Arial" w:hAnsi="Arial" w:cs="Arial"/>
          <w:bCs/>
          <w:i/>
          <w:sz w:val="22"/>
          <w:szCs w:val="22"/>
          <w:lang w:val="es-CR"/>
        </w:rPr>
        <w:t xml:space="preserve">Se solicita al Consejo Institucional revisar la pertinencia de mantener el numeral 34 de las Normas de Presupuesto, en razón de que la normativa actual vigente posibilita a ese órgano a solicitar a la Auditoría Interna la asesoría, que en relación </w:t>
      </w:r>
      <w:r w:rsidRPr="0091578A">
        <w:rPr>
          <w:rFonts w:ascii="Arial" w:hAnsi="Arial" w:cs="Arial"/>
          <w:bCs/>
          <w:i/>
          <w:sz w:val="22"/>
          <w:szCs w:val="22"/>
          <w:lang w:val="es-CR"/>
        </w:rPr>
        <w:lastRenderedPageBreak/>
        <w:t xml:space="preserve">con cualquier documento presupuestario que se tramite, requiera para orientar la toma de decisiones. </w:t>
      </w:r>
    </w:p>
    <w:p w:rsidR="0091578A" w:rsidRPr="0091578A" w:rsidRDefault="0091578A" w:rsidP="0091578A">
      <w:pPr>
        <w:tabs>
          <w:tab w:val="left" w:pos="709"/>
        </w:tabs>
        <w:ind w:left="567" w:right="448"/>
        <w:jc w:val="both"/>
        <w:rPr>
          <w:rFonts w:ascii="Arial" w:hAnsi="Arial" w:cs="Arial"/>
          <w:bCs/>
          <w:i/>
          <w:sz w:val="22"/>
          <w:szCs w:val="22"/>
          <w:lang w:val="es-CR"/>
        </w:rPr>
      </w:pPr>
    </w:p>
    <w:p w:rsidR="0091578A" w:rsidRPr="0091578A" w:rsidRDefault="0091578A" w:rsidP="0091578A">
      <w:pPr>
        <w:tabs>
          <w:tab w:val="left" w:pos="709"/>
        </w:tabs>
        <w:ind w:left="567" w:right="448"/>
        <w:jc w:val="both"/>
        <w:rPr>
          <w:rFonts w:ascii="Arial" w:hAnsi="Arial" w:cs="Arial"/>
          <w:bCs/>
          <w:i/>
          <w:sz w:val="22"/>
          <w:szCs w:val="22"/>
          <w:lang w:val="es-CR"/>
        </w:rPr>
      </w:pPr>
      <w:r w:rsidRPr="0091578A">
        <w:rPr>
          <w:rFonts w:ascii="Arial" w:hAnsi="Arial" w:cs="Arial"/>
          <w:bCs/>
          <w:i/>
          <w:sz w:val="22"/>
          <w:szCs w:val="22"/>
          <w:lang w:val="es-CR"/>
        </w:rPr>
        <w:t>Esta solicitud fue formulada en dos ocasiones anteriores, con las notas AUDI-164-2010 y AUDI-236-2014, remitidas a la Presidencia del Consejo Institucional.</w:t>
      </w:r>
    </w:p>
    <w:p w:rsidR="0091578A" w:rsidRPr="0091578A" w:rsidRDefault="0091578A" w:rsidP="0091578A">
      <w:pPr>
        <w:tabs>
          <w:tab w:val="left" w:pos="709"/>
        </w:tabs>
        <w:ind w:left="567" w:right="448"/>
        <w:jc w:val="both"/>
        <w:rPr>
          <w:rFonts w:ascii="Arial" w:hAnsi="Arial" w:cs="Arial"/>
          <w:bCs/>
          <w:i/>
          <w:sz w:val="22"/>
          <w:szCs w:val="22"/>
          <w:lang w:val="es-CR"/>
        </w:rPr>
      </w:pPr>
    </w:p>
    <w:p w:rsidR="0091578A" w:rsidRPr="0091578A" w:rsidRDefault="0091578A" w:rsidP="00D95190">
      <w:pPr>
        <w:tabs>
          <w:tab w:val="left" w:pos="709"/>
        </w:tabs>
        <w:ind w:left="567" w:right="448"/>
        <w:jc w:val="both"/>
        <w:rPr>
          <w:rFonts w:ascii="Arial" w:hAnsi="Arial" w:cs="Arial"/>
          <w:bCs/>
          <w:i/>
          <w:lang w:val="es-CR"/>
        </w:rPr>
      </w:pPr>
      <w:r w:rsidRPr="0091578A">
        <w:rPr>
          <w:rFonts w:ascii="Arial" w:hAnsi="Arial" w:cs="Arial"/>
          <w:bCs/>
          <w:i/>
          <w:sz w:val="22"/>
          <w:szCs w:val="22"/>
          <w:lang w:val="es-CR"/>
        </w:rPr>
        <w:t>El plan anual de trabajo de la Auditoría Interna, prevé evaluaciones en materia presupuestaria y considera la asesoría que se requiera, en razón de la naturaleza de la actividad, con base en los resultados del análisis de riesgo y la disponibilidad de recursos.”</w:t>
      </w:r>
    </w:p>
    <w:p w:rsidR="0091578A" w:rsidRPr="0091578A" w:rsidRDefault="0091578A" w:rsidP="0091578A">
      <w:pPr>
        <w:jc w:val="both"/>
        <w:outlineLvl w:val="0"/>
        <w:rPr>
          <w:rFonts w:ascii="Arial" w:hAnsi="Arial" w:cs="Arial"/>
          <w:b/>
          <w:lang w:val="es-CR"/>
        </w:rPr>
      </w:pPr>
      <w:r w:rsidRPr="0091578A">
        <w:rPr>
          <w:rFonts w:ascii="Arial" w:hAnsi="Arial" w:cs="Arial"/>
          <w:b/>
          <w:lang w:val="es-CR"/>
        </w:rPr>
        <w:t>CONSIDERANDO QUE:</w:t>
      </w:r>
    </w:p>
    <w:p w:rsidR="0091578A" w:rsidRPr="0091578A" w:rsidRDefault="0091578A" w:rsidP="0091578A">
      <w:pPr>
        <w:jc w:val="both"/>
        <w:outlineLvl w:val="0"/>
        <w:rPr>
          <w:rFonts w:ascii="Arial" w:hAnsi="Arial" w:cs="Arial"/>
          <w:b/>
          <w:lang w:val="es-CR"/>
        </w:rPr>
      </w:pPr>
    </w:p>
    <w:p w:rsidR="0091578A" w:rsidRPr="0091578A" w:rsidRDefault="0091578A" w:rsidP="0006621B">
      <w:pPr>
        <w:numPr>
          <w:ilvl w:val="0"/>
          <w:numId w:val="3"/>
        </w:numPr>
        <w:tabs>
          <w:tab w:val="left" w:pos="426"/>
        </w:tabs>
        <w:ind w:left="426"/>
        <w:contextualSpacing/>
        <w:jc w:val="both"/>
        <w:rPr>
          <w:rFonts w:ascii="Arial" w:hAnsi="Arial" w:cs="Arial"/>
        </w:rPr>
      </w:pPr>
      <w:r w:rsidRPr="0091578A">
        <w:rPr>
          <w:rFonts w:ascii="Arial" w:hAnsi="Arial" w:cs="Arial"/>
          <w:color w:val="000000"/>
          <w:lang w:val="es-CR"/>
        </w:rPr>
        <w:t xml:space="preserve">El calendario institucional establece periodos de vacaciones para todo el personal en el mes de junio y finales de diciembre de cada año e inicio de enero del año siguiente, lo cual dificulta el cumplimiento de los plazos establecidos en el numeral 34 de las </w:t>
      </w:r>
      <w:r w:rsidRPr="0091578A">
        <w:rPr>
          <w:rFonts w:ascii="Arial" w:hAnsi="Arial" w:cs="Arial"/>
          <w:bCs/>
          <w:color w:val="000000"/>
          <w:lang w:val="es-CR"/>
        </w:rPr>
        <w:t>“Normas de Presupuesto del Instituto Tecnológico de Costa Rica”, tanto a la Vicerrectoría de Administración como a la Auditoría Interna.</w:t>
      </w:r>
    </w:p>
    <w:p w:rsidR="0091578A" w:rsidRPr="0091578A" w:rsidRDefault="0091578A" w:rsidP="00D95190">
      <w:pPr>
        <w:tabs>
          <w:tab w:val="left" w:pos="426"/>
        </w:tabs>
        <w:contextualSpacing/>
        <w:jc w:val="both"/>
        <w:rPr>
          <w:rFonts w:ascii="Arial" w:hAnsi="Arial" w:cs="Arial"/>
        </w:rPr>
      </w:pPr>
    </w:p>
    <w:p w:rsidR="0091578A" w:rsidRPr="0091578A" w:rsidRDefault="0091578A" w:rsidP="0006621B">
      <w:pPr>
        <w:numPr>
          <w:ilvl w:val="0"/>
          <w:numId w:val="3"/>
        </w:numPr>
        <w:tabs>
          <w:tab w:val="left" w:pos="426"/>
        </w:tabs>
        <w:ind w:left="426"/>
        <w:contextualSpacing/>
        <w:jc w:val="both"/>
        <w:rPr>
          <w:rFonts w:ascii="Arial" w:hAnsi="Arial" w:cs="Arial"/>
        </w:rPr>
      </w:pPr>
      <w:r w:rsidRPr="0091578A">
        <w:rPr>
          <w:rFonts w:ascii="Arial" w:hAnsi="Arial" w:cs="Arial"/>
        </w:rPr>
        <w:t>La promulgación de la Ley General de Control Interno (No. 8292), aprobada en el año 2002, hace innecesaria la norma 34 de las “Normas de Presupuesto del Instituto Tecnológico de Costa Rica”, porque permite que el servicio de asesoría de parte de la Auditoría Interna a la Administración activa, se brinde a solicitud de la parte interesada o por iniciativa del Auditor Interno.</w:t>
      </w:r>
    </w:p>
    <w:p w:rsidR="0091578A" w:rsidRPr="0091578A" w:rsidRDefault="0091578A" w:rsidP="0091578A">
      <w:pPr>
        <w:ind w:left="708"/>
        <w:rPr>
          <w:rFonts w:ascii="Arial" w:hAnsi="Arial" w:cs="Arial"/>
        </w:rPr>
      </w:pPr>
    </w:p>
    <w:p w:rsidR="0091578A" w:rsidRPr="0091578A" w:rsidRDefault="0091578A" w:rsidP="0006621B">
      <w:pPr>
        <w:numPr>
          <w:ilvl w:val="0"/>
          <w:numId w:val="3"/>
        </w:numPr>
        <w:tabs>
          <w:tab w:val="left" w:pos="426"/>
        </w:tabs>
        <w:ind w:left="426"/>
        <w:contextualSpacing/>
        <w:jc w:val="both"/>
        <w:rPr>
          <w:rFonts w:ascii="Arial" w:eastAsia="ヒラギノ角ゴ Pro W3" w:hAnsi="Arial" w:cs="Arial"/>
          <w:b/>
          <w:color w:val="000000"/>
          <w:lang w:val="es-CR" w:eastAsia="es-CR"/>
        </w:rPr>
      </w:pPr>
      <w:r w:rsidRPr="0091578A">
        <w:rPr>
          <w:rFonts w:ascii="Arial" w:hAnsi="Arial" w:cs="Arial"/>
        </w:rPr>
        <w:t>Tanto el Consejo Institucional como sus Comisiones Permanentes pueden solicitar asesoría a la Auditoría Interna en temas de su competencia, cuando lo estimen necesario</w:t>
      </w:r>
      <w:r>
        <w:rPr>
          <w:rFonts w:ascii="Arial" w:hAnsi="Arial" w:cs="Arial"/>
        </w:rPr>
        <w:t>.</w:t>
      </w:r>
      <w:r w:rsidRPr="0091578A">
        <w:rPr>
          <w:rFonts w:ascii="Arial" w:hAnsi="Arial" w:cs="Arial"/>
        </w:rPr>
        <w:t xml:space="preserve"> </w:t>
      </w:r>
    </w:p>
    <w:p w:rsidR="0091578A" w:rsidRDefault="0091578A" w:rsidP="0091578A">
      <w:pPr>
        <w:pStyle w:val="Prrafodelista"/>
        <w:rPr>
          <w:rFonts w:ascii="Arial" w:eastAsia="ヒラギノ角ゴ Pro W3" w:hAnsi="Arial" w:cs="Arial"/>
          <w:b/>
          <w:color w:val="000000"/>
          <w:lang w:val="es-CR" w:eastAsia="es-CR"/>
        </w:rPr>
      </w:pPr>
    </w:p>
    <w:p w:rsidR="0091578A" w:rsidRPr="0091578A" w:rsidRDefault="0091578A" w:rsidP="0091578A">
      <w:pPr>
        <w:tabs>
          <w:tab w:val="left" w:pos="426"/>
        </w:tabs>
        <w:contextualSpacing/>
        <w:jc w:val="both"/>
        <w:rPr>
          <w:rFonts w:ascii="Arial" w:eastAsia="ヒラギノ角ゴ Pro W3" w:hAnsi="Arial" w:cs="Arial"/>
          <w:b/>
          <w:color w:val="000000"/>
          <w:lang w:val="es-CR" w:eastAsia="es-CR"/>
        </w:rPr>
      </w:pPr>
      <w:r w:rsidRPr="0091578A">
        <w:rPr>
          <w:rFonts w:ascii="Arial" w:eastAsia="ヒラギノ角ゴ Pro W3" w:hAnsi="Arial" w:cs="Arial"/>
          <w:b/>
          <w:color w:val="000000"/>
          <w:lang w:val="es-CR" w:eastAsia="es-CR"/>
        </w:rPr>
        <w:t>SE</w:t>
      </w:r>
      <w:r>
        <w:rPr>
          <w:rFonts w:ascii="Arial" w:eastAsia="ヒラギノ角ゴ Pro W3" w:hAnsi="Arial" w:cs="Arial"/>
          <w:b/>
          <w:color w:val="000000"/>
          <w:lang w:val="es-CR" w:eastAsia="es-CR"/>
        </w:rPr>
        <w:t xml:space="preserve"> ACUERDA</w:t>
      </w:r>
      <w:r w:rsidRPr="0091578A">
        <w:rPr>
          <w:rFonts w:ascii="Arial" w:eastAsia="ヒラギノ角ゴ Pro W3" w:hAnsi="Arial" w:cs="Arial"/>
          <w:b/>
          <w:color w:val="000000"/>
          <w:lang w:val="es-CR" w:eastAsia="es-CR"/>
        </w:rPr>
        <w:t>:</w:t>
      </w:r>
    </w:p>
    <w:p w:rsidR="0091578A" w:rsidRPr="0091578A" w:rsidRDefault="0091578A" w:rsidP="0091578A">
      <w:pPr>
        <w:jc w:val="both"/>
        <w:rPr>
          <w:rFonts w:ascii="Arial" w:hAnsi="Arial" w:cs="Arial"/>
          <w:sz w:val="20"/>
          <w:szCs w:val="20"/>
        </w:rPr>
      </w:pPr>
    </w:p>
    <w:p w:rsidR="0091578A" w:rsidRPr="0091578A" w:rsidRDefault="0091578A" w:rsidP="0006621B">
      <w:pPr>
        <w:numPr>
          <w:ilvl w:val="0"/>
          <w:numId w:val="2"/>
        </w:numPr>
        <w:ind w:left="426" w:hanging="426"/>
        <w:jc w:val="both"/>
        <w:rPr>
          <w:rFonts w:ascii="Arial" w:eastAsia="ヒラギノ角ゴ Pro W3" w:hAnsi="Arial" w:cs="Arial"/>
          <w:lang w:val="es-MX" w:eastAsia="es-CR"/>
        </w:rPr>
      </w:pPr>
      <w:r w:rsidRPr="0091578A">
        <w:rPr>
          <w:rFonts w:ascii="Arial" w:eastAsia="ヒラギノ角ゴ Pro W3" w:hAnsi="Arial" w:cs="Arial"/>
          <w:lang w:val="es-MX" w:eastAsia="es-CR"/>
        </w:rPr>
        <w:t xml:space="preserve">Derogar el numeral 34 de las </w:t>
      </w:r>
      <w:r w:rsidRPr="0091578A">
        <w:rPr>
          <w:rFonts w:ascii="Arial" w:hAnsi="Arial" w:cs="Arial"/>
          <w:bCs/>
          <w:color w:val="000000"/>
          <w:lang w:val="es-CR"/>
        </w:rPr>
        <w:t>“Normas de Presupuesto del Instituto Tecnológico de Costa Rica”,</w:t>
      </w:r>
      <w:r w:rsidRPr="0091578A">
        <w:rPr>
          <w:rFonts w:ascii="Arial" w:eastAsia="ヒラギノ角ゴ Pro W3" w:hAnsi="Arial" w:cs="Arial"/>
          <w:lang w:val="es-MX" w:eastAsia="es-CR"/>
        </w:rPr>
        <w:t xml:space="preserve"> aprobadas por el Consejo Institucional, en</w:t>
      </w:r>
      <w:r w:rsidRPr="0091578A">
        <w:rPr>
          <w:rFonts w:ascii="Arial" w:hAnsi="Arial" w:cs="Arial"/>
          <w:bCs/>
          <w:color w:val="000000"/>
          <w:lang w:val="es-CR"/>
        </w:rPr>
        <w:t xml:space="preserve"> la Sesión No.1887, artículo 13, del 30 de mayo de 1996.</w:t>
      </w:r>
    </w:p>
    <w:p w:rsidR="00672D32" w:rsidRPr="00EF1E98" w:rsidRDefault="00672D32" w:rsidP="00672D32">
      <w:pPr>
        <w:jc w:val="both"/>
        <w:rPr>
          <w:rFonts w:ascii="Arial" w:hAnsi="Arial" w:cs="Arial"/>
          <w:b/>
        </w:rPr>
      </w:pPr>
    </w:p>
    <w:p w:rsidR="00887FCC" w:rsidRDefault="002204D7" w:rsidP="0006621B">
      <w:pPr>
        <w:numPr>
          <w:ilvl w:val="0"/>
          <w:numId w:val="2"/>
        </w:numPr>
        <w:ind w:left="426" w:hanging="426"/>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D95190" w:rsidRDefault="00D95190" w:rsidP="00D95190">
      <w:pPr>
        <w:pStyle w:val="Prrafodelista"/>
        <w:rPr>
          <w:rFonts w:ascii="Arial" w:hAnsi="Arial" w:cs="Arial"/>
          <w:b/>
          <w:lang w:val="es-CR"/>
        </w:rPr>
      </w:pPr>
    </w:p>
    <w:p w:rsidR="00D95190" w:rsidRDefault="00D95190" w:rsidP="00D95190">
      <w:pPr>
        <w:ind w:left="426"/>
        <w:jc w:val="both"/>
        <w:rPr>
          <w:rFonts w:ascii="Arial" w:hAnsi="Arial" w:cs="Arial"/>
          <w:b/>
          <w:lang w:val="es-CR"/>
        </w:rPr>
      </w:pPr>
    </w:p>
    <w:p w:rsidR="00D95190" w:rsidRPr="0091578A" w:rsidRDefault="00D95190" w:rsidP="00D95190">
      <w:pPr>
        <w:rPr>
          <w:rFonts w:ascii="Arial" w:hAnsi="Arial" w:cs="Arial"/>
          <w:b/>
          <w:i/>
          <w:sz w:val="18"/>
          <w:szCs w:val="18"/>
        </w:rPr>
      </w:pPr>
      <w:r w:rsidRPr="0091578A">
        <w:rPr>
          <w:rFonts w:ascii="Arial" w:hAnsi="Arial" w:cs="Arial"/>
          <w:b/>
          <w:i/>
          <w:sz w:val="18"/>
          <w:szCs w:val="18"/>
        </w:rPr>
        <w:t xml:space="preserve">Palabras Clave: Derogar -  Numeral 34 - Normas - Presupuesto - </w:t>
      </w:r>
      <w:proofErr w:type="gramStart"/>
      <w:r w:rsidRPr="0091578A">
        <w:rPr>
          <w:rFonts w:ascii="Arial" w:hAnsi="Arial" w:cs="Arial"/>
          <w:b/>
          <w:i/>
          <w:sz w:val="18"/>
          <w:szCs w:val="18"/>
        </w:rPr>
        <w:t>ITCR  –</w:t>
      </w:r>
      <w:proofErr w:type="gramEnd"/>
      <w:r w:rsidRPr="0091578A">
        <w:rPr>
          <w:rFonts w:ascii="Arial" w:hAnsi="Arial" w:cs="Arial"/>
          <w:b/>
          <w:i/>
          <w:sz w:val="18"/>
          <w:szCs w:val="18"/>
        </w:rPr>
        <w:t xml:space="preserve"> Ley - Control - Interno– Auditoría Interna</w:t>
      </w:r>
    </w:p>
    <w:p w:rsidR="0041439E" w:rsidRPr="00D95190" w:rsidRDefault="0041439E" w:rsidP="0041439E">
      <w:pPr>
        <w:pStyle w:val="Prrafodelista"/>
        <w:rPr>
          <w:rFonts w:ascii="Arial" w:hAnsi="Arial" w:cs="Arial"/>
          <w:b/>
        </w:rPr>
      </w:pPr>
    </w:p>
    <w:p w:rsidR="0041439E" w:rsidRDefault="0041439E" w:rsidP="0041439E">
      <w:pPr>
        <w:jc w:val="both"/>
        <w:rPr>
          <w:rFonts w:ascii="Arial" w:hAnsi="Arial" w:cs="Arial"/>
          <w:b/>
          <w:lang w:val="es-CR"/>
        </w:rPr>
      </w:pPr>
    </w:p>
    <w:tbl>
      <w:tblPr>
        <w:tblpPr w:leftFromText="142" w:rightFromText="142" w:vertAnchor="text" w:horzAnchor="margin" w:tblpY="1"/>
        <w:tblOverlap w:val="never"/>
        <w:tblW w:w="0" w:type="auto"/>
        <w:tblLook w:val="04A0" w:firstRow="1" w:lastRow="0" w:firstColumn="1" w:lastColumn="0" w:noHBand="0" w:noVBand="1"/>
      </w:tblPr>
      <w:tblGrid>
        <w:gridCol w:w="3195"/>
        <w:gridCol w:w="5301"/>
        <w:gridCol w:w="222"/>
      </w:tblGrid>
      <w:tr w:rsidR="00D95190" w:rsidTr="00D95190">
        <w:trPr>
          <w:trHeight w:val="183"/>
        </w:trPr>
        <w:tc>
          <w:tcPr>
            <w:tcW w:w="0" w:type="auto"/>
          </w:tcPr>
          <w:p w:rsidR="00D95190" w:rsidRDefault="00D95190"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D95190" w:rsidRDefault="00D95190"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D95190" w:rsidRDefault="00D95190"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D95190" w:rsidRDefault="00D95190"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D95190" w:rsidRDefault="00D95190"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D95190" w:rsidRDefault="00D95190"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D95190" w:rsidRDefault="00D95190"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D95190" w:rsidRDefault="00D95190"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Centro Académico de Limón </w:t>
            </w:r>
          </w:p>
          <w:p w:rsidR="00D95190" w:rsidRDefault="00D95190" w:rsidP="004411B2">
            <w:pPr>
              <w:ind w:left="-567" w:firstLine="567"/>
              <w:jc w:val="both"/>
              <w:rPr>
                <w:rFonts w:ascii="Arial" w:eastAsia="Cambria" w:hAnsi="Arial" w:cs="Arial"/>
                <w:b/>
                <w:sz w:val="16"/>
                <w:szCs w:val="16"/>
                <w:lang w:val="es-ES_tradnl" w:eastAsia="en-US"/>
              </w:rPr>
            </w:pPr>
          </w:p>
          <w:p w:rsidR="00D95190" w:rsidRDefault="00D95190" w:rsidP="004411B2">
            <w:pPr>
              <w:ind w:left="-567" w:firstLine="567"/>
              <w:jc w:val="both"/>
              <w:rPr>
                <w:rFonts w:ascii="Arial" w:eastAsia="Cambria" w:hAnsi="Arial" w:cs="Arial"/>
                <w:b/>
                <w:sz w:val="16"/>
                <w:szCs w:val="16"/>
                <w:lang w:val="es-ES_tradnl" w:eastAsia="en-US"/>
              </w:rPr>
            </w:pPr>
          </w:p>
        </w:tc>
        <w:tc>
          <w:tcPr>
            <w:tcW w:w="0" w:type="auto"/>
          </w:tcPr>
          <w:p w:rsidR="00D95190" w:rsidRDefault="00D95190" w:rsidP="004411B2">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D95190" w:rsidRDefault="00D95190" w:rsidP="004411B2">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r w:rsidR="00323B63">
              <w:rPr>
                <w:rFonts w:ascii="Arial" w:eastAsia="Cambria" w:hAnsi="Arial" w:cs="Arial"/>
                <w:b/>
                <w:sz w:val="16"/>
                <w:szCs w:val="16"/>
                <w:lang w:val="es-ES_tradnl" w:eastAsia="en-US"/>
              </w:rPr>
              <w:t>(PUBLICAR)</w:t>
            </w:r>
          </w:p>
          <w:p w:rsidR="00D95190" w:rsidRDefault="00D95190" w:rsidP="004411B2">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D95190" w:rsidRDefault="00D95190" w:rsidP="004411B2">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D95190" w:rsidRDefault="00D95190" w:rsidP="004411B2">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D95190" w:rsidRDefault="00D95190" w:rsidP="004411B2">
            <w:pPr>
              <w:ind w:left="-567" w:firstLine="567"/>
              <w:jc w:val="both"/>
              <w:rPr>
                <w:rFonts w:ascii="Arial" w:eastAsia="Cambria" w:hAnsi="Arial" w:cs="Arial"/>
                <w:b/>
                <w:sz w:val="16"/>
                <w:szCs w:val="16"/>
                <w:lang w:val="es-ES_tradnl" w:eastAsia="en-US"/>
              </w:rPr>
            </w:pPr>
          </w:p>
          <w:p w:rsidR="00D95190" w:rsidRDefault="00D95190" w:rsidP="004411B2">
            <w:pPr>
              <w:jc w:val="both"/>
              <w:rPr>
                <w:rFonts w:ascii="Arial" w:eastAsia="Cambria" w:hAnsi="Arial" w:cs="Arial"/>
                <w:b/>
                <w:sz w:val="16"/>
                <w:szCs w:val="16"/>
                <w:lang w:val="es-ES_tradnl" w:eastAsia="en-US"/>
              </w:rPr>
            </w:pPr>
          </w:p>
          <w:p w:rsidR="00D95190" w:rsidRDefault="00D95190" w:rsidP="004411B2">
            <w:pPr>
              <w:rPr>
                <w:rFonts w:ascii="Arial" w:eastAsia="Cambria" w:hAnsi="Arial" w:cs="Arial"/>
                <w:b/>
                <w:sz w:val="16"/>
                <w:szCs w:val="16"/>
                <w:lang w:val="es-CR" w:eastAsia="en-US"/>
              </w:rPr>
            </w:pPr>
          </w:p>
        </w:tc>
        <w:tc>
          <w:tcPr>
            <w:tcW w:w="0" w:type="auto"/>
          </w:tcPr>
          <w:p w:rsidR="00D95190" w:rsidRDefault="00D95190" w:rsidP="004411B2">
            <w:pPr>
              <w:jc w:val="both"/>
              <w:rPr>
                <w:rFonts w:ascii="Arial" w:eastAsia="Cambria" w:hAnsi="Arial" w:cs="Arial"/>
                <w:b/>
                <w:sz w:val="16"/>
                <w:szCs w:val="16"/>
                <w:lang w:val="es-ES_tradnl" w:eastAsia="en-US"/>
              </w:rPr>
            </w:pPr>
          </w:p>
        </w:tc>
      </w:tr>
    </w:tbl>
    <w:p w:rsidR="004F7EB0" w:rsidRPr="0041439E" w:rsidRDefault="004F7EB0" w:rsidP="00672D32">
      <w:pPr>
        <w:jc w:val="both"/>
        <w:rPr>
          <w:rFonts w:ascii="Arial" w:hAnsi="Arial" w:cs="Arial"/>
          <w:b/>
          <w:sz w:val="22"/>
          <w:szCs w:val="22"/>
        </w:rPr>
      </w:pPr>
      <w:bookmarkStart w:id="0" w:name="_GoBack"/>
      <w:bookmarkEnd w:id="0"/>
    </w:p>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32A" w:rsidRDefault="001F732A">
      <w:r>
        <w:separator/>
      </w:r>
    </w:p>
  </w:endnote>
  <w:endnote w:type="continuationSeparator" w:id="0">
    <w:p w:rsidR="001F732A" w:rsidRDefault="001F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32A" w:rsidRDefault="001F732A">
      <w:r>
        <w:separator/>
      </w:r>
    </w:p>
  </w:footnote>
  <w:footnote w:type="continuationSeparator" w:id="0">
    <w:p w:rsidR="001F732A" w:rsidRDefault="001F7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EF1E98">
      <w:rPr>
        <w:rFonts w:ascii="Arial" w:eastAsia="Cambria" w:hAnsi="Arial" w:cs="Arial"/>
        <w:i/>
        <w:sz w:val="18"/>
        <w:szCs w:val="18"/>
        <w:lang w:val="es-ES_tradnl" w:eastAsia="x-none"/>
      </w:rPr>
      <w:t>50</w:t>
    </w:r>
    <w:r w:rsidRPr="00D958BC">
      <w:rPr>
        <w:rFonts w:ascii="Arial" w:eastAsia="Cambria" w:hAnsi="Arial" w:cs="Arial"/>
        <w:i/>
        <w:sz w:val="18"/>
        <w:szCs w:val="18"/>
        <w:lang w:val="es-ES_tradnl" w:eastAsia="x-none"/>
      </w:rPr>
      <w:t xml:space="preserve">, Artículo </w:t>
    </w:r>
    <w:r w:rsidR="0041439E">
      <w:rPr>
        <w:rFonts w:ascii="Arial" w:eastAsia="Cambria" w:hAnsi="Arial" w:cs="Arial"/>
        <w:i/>
        <w:sz w:val="18"/>
        <w:szCs w:val="18"/>
        <w:lang w:val="es-ES_tradnl" w:eastAsia="x-none"/>
      </w:rPr>
      <w:t>1</w:t>
    </w:r>
    <w:r w:rsidR="00EF1E98">
      <w:rPr>
        <w:rFonts w:ascii="Arial" w:eastAsia="Cambria" w:hAnsi="Arial" w:cs="Arial"/>
        <w:i/>
        <w:sz w:val="18"/>
        <w:szCs w:val="18"/>
        <w:lang w:val="es-ES_tradnl" w:eastAsia="x-none"/>
      </w:rPr>
      <w:t>5</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EF1E98">
      <w:rPr>
        <w:rFonts w:ascii="Arial" w:eastAsia="Cambria" w:hAnsi="Arial" w:cs="Arial"/>
        <w:i/>
        <w:sz w:val="18"/>
        <w:szCs w:val="18"/>
        <w:lang w:val="es-ES_tradnl" w:eastAsia="x-none"/>
      </w:rPr>
      <w:t>06</w:t>
    </w:r>
    <w:r>
      <w:rPr>
        <w:rFonts w:ascii="Arial" w:eastAsia="Cambria" w:hAnsi="Arial" w:cs="Arial"/>
        <w:i/>
        <w:sz w:val="18"/>
        <w:szCs w:val="18"/>
        <w:lang w:val="es-ES_tradnl" w:eastAsia="x-none"/>
      </w:rPr>
      <w:t xml:space="preserve"> de </w:t>
    </w:r>
    <w:r w:rsidR="00EF1E98">
      <w:rPr>
        <w:rFonts w:ascii="Arial" w:eastAsia="Cambria" w:hAnsi="Arial" w:cs="Arial"/>
        <w:i/>
        <w:sz w:val="18"/>
        <w:szCs w:val="18"/>
        <w:lang w:val="es-ES_tradnl" w:eastAsia="x-none"/>
      </w:rPr>
      <w:t>dic</w:t>
    </w:r>
    <w:r>
      <w:rPr>
        <w:rFonts w:ascii="Arial" w:eastAsia="Cambria" w:hAnsi="Arial" w:cs="Arial"/>
        <w:i/>
        <w:sz w:val="18"/>
        <w:szCs w:val="18"/>
        <w:lang w:val="es-ES_tradnl" w:eastAsia="x-none"/>
      </w:rPr>
      <w:t xml:space="preserve">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23B63">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8CA3797"/>
    <w:multiLevelType w:val="hybridMultilevel"/>
    <w:tmpl w:val="9B8E25EC"/>
    <w:lvl w:ilvl="0" w:tplc="FFA0489A">
      <w:start w:val="1"/>
      <w:numFmt w:val="lowerLetter"/>
      <w:lvlText w:val="%1."/>
      <w:lvlJc w:val="left"/>
      <w:pPr>
        <w:ind w:left="1002" w:hanging="360"/>
      </w:pPr>
      <w:rPr>
        <w:rFonts w:cs="TTE1865388t00" w:hint="default"/>
        <w:b/>
        <w:i w:val="0"/>
      </w:rPr>
    </w:lvl>
    <w:lvl w:ilvl="1" w:tplc="140A0019">
      <w:start w:val="1"/>
      <w:numFmt w:val="lowerLetter"/>
      <w:lvlText w:val="%2."/>
      <w:lvlJc w:val="left"/>
      <w:pPr>
        <w:ind w:left="1722" w:hanging="360"/>
      </w:pPr>
    </w:lvl>
    <w:lvl w:ilvl="2" w:tplc="140A001B" w:tentative="1">
      <w:start w:val="1"/>
      <w:numFmt w:val="lowerRoman"/>
      <w:lvlText w:val="%3."/>
      <w:lvlJc w:val="right"/>
      <w:pPr>
        <w:ind w:left="2442" w:hanging="180"/>
      </w:pPr>
    </w:lvl>
    <w:lvl w:ilvl="3" w:tplc="140A000F" w:tentative="1">
      <w:start w:val="1"/>
      <w:numFmt w:val="decimal"/>
      <w:lvlText w:val="%4."/>
      <w:lvlJc w:val="left"/>
      <w:pPr>
        <w:ind w:left="3162" w:hanging="360"/>
      </w:pPr>
    </w:lvl>
    <w:lvl w:ilvl="4" w:tplc="140A0019" w:tentative="1">
      <w:start w:val="1"/>
      <w:numFmt w:val="lowerLetter"/>
      <w:lvlText w:val="%5."/>
      <w:lvlJc w:val="left"/>
      <w:pPr>
        <w:ind w:left="3882" w:hanging="360"/>
      </w:pPr>
    </w:lvl>
    <w:lvl w:ilvl="5" w:tplc="140A001B" w:tentative="1">
      <w:start w:val="1"/>
      <w:numFmt w:val="lowerRoman"/>
      <w:lvlText w:val="%6."/>
      <w:lvlJc w:val="right"/>
      <w:pPr>
        <w:ind w:left="4602" w:hanging="180"/>
      </w:pPr>
    </w:lvl>
    <w:lvl w:ilvl="6" w:tplc="140A000F" w:tentative="1">
      <w:start w:val="1"/>
      <w:numFmt w:val="decimal"/>
      <w:lvlText w:val="%7."/>
      <w:lvlJc w:val="left"/>
      <w:pPr>
        <w:ind w:left="5322" w:hanging="360"/>
      </w:pPr>
    </w:lvl>
    <w:lvl w:ilvl="7" w:tplc="140A0019" w:tentative="1">
      <w:start w:val="1"/>
      <w:numFmt w:val="lowerLetter"/>
      <w:lvlText w:val="%8."/>
      <w:lvlJc w:val="left"/>
      <w:pPr>
        <w:ind w:left="6042" w:hanging="360"/>
      </w:pPr>
    </w:lvl>
    <w:lvl w:ilvl="8" w:tplc="140A001B" w:tentative="1">
      <w:start w:val="1"/>
      <w:numFmt w:val="lowerRoman"/>
      <w:lvlText w:val="%9."/>
      <w:lvlJc w:val="right"/>
      <w:pPr>
        <w:ind w:left="6762" w:hanging="180"/>
      </w:pPr>
    </w:lvl>
  </w:abstractNum>
  <w:abstractNum w:abstractNumId="2" w15:restartNumberingAfterBreak="0">
    <w:nsid w:val="70345397"/>
    <w:multiLevelType w:val="hybridMultilevel"/>
    <w:tmpl w:val="DD42C860"/>
    <w:lvl w:ilvl="0" w:tplc="B320886E">
      <w:start w:val="1"/>
      <w:numFmt w:val="decimal"/>
      <w:lvlText w:val="%1."/>
      <w:lvlJc w:val="left"/>
      <w:pPr>
        <w:tabs>
          <w:tab w:val="num" w:pos="284"/>
        </w:tabs>
        <w:ind w:left="284" w:hanging="284"/>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4037B2F"/>
    <w:multiLevelType w:val="hybridMultilevel"/>
    <w:tmpl w:val="46BCEADC"/>
    <w:lvl w:ilvl="0" w:tplc="A568F86A">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621B"/>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47E1"/>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D14"/>
    <w:rsid w:val="000F1E1D"/>
    <w:rsid w:val="000F2A0F"/>
    <w:rsid w:val="000F4527"/>
    <w:rsid w:val="000F473C"/>
    <w:rsid w:val="000F490D"/>
    <w:rsid w:val="000F4B43"/>
    <w:rsid w:val="000F5572"/>
    <w:rsid w:val="000F5C99"/>
    <w:rsid w:val="000F7A0A"/>
    <w:rsid w:val="00104E6C"/>
    <w:rsid w:val="00105392"/>
    <w:rsid w:val="00107C78"/>
    <w:rsid w:val="0011053E"/>
    <w:rsid w:val="001113FE"/>
    <w:rsid w:val="001125EE"/>
    <w:rsid w:val="00115853"/>
    <w:rsid w:val="0011767E"/>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33F5"/>
    <w:rsid w:val="00187E00"/>
    <w:rsid w:val="00190010"/>
    <w:rsid w:val="00194C18"/>
    <w:rsid w:val="001962C2"/>
    <w:rsid w:val="001A33C3"/>
    <w:rsid w:val="001B1E0E"/>
    <w:rsid w:val="001B208D"/>
    <w:rsid w:val="001B59CC"/>
    <w:rsid w:val="001B7AB0"/>
    <w:rsid w:val="001C1124"/>
    <w:rsid w:val="001C1335"/>
    <w:rsid w:val="001C54CE"/>
    <w:rsid w:val="001D40F5"/>
    <w:rsid w:val="001E0224"/>
    <w:rsid w:val="001E08C0"/>
    <w:rsid w:val="001E0E52"/>
    <w:rsid w:val="001E11D4"/>
    <w:rsid w:val="001E3A77"/>
    <w:rsid w:val="001E3DCB"/>
    <w:rsid w:val="001E684C"/>
    <w:rsid w:val="001E69A6"/>
    <w:rsid w:val="001E69C9"/>
    <w:rsid w:val="001F0C0F"/>
    <w:rsid w:val="001F26FD"/>
    <w:rsid w:val="001F3C06"/>
    <w:rsid w:val="001F3E92"/>
    <w:rsid w:val="001F732A"/>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4C36"/>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2C3"/>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3B63"/>
    <w:rsid w:val="00324AB0"/>
    <w:rsid w:val="003253F9"/>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439E"/>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1058"/>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012"/>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436"/>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3F58"/>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28ED"/>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578A"/>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C4E1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0B8"/>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16991"/>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6C5"/>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0D6B"/>
    <w:rsid w:val="00D51BB1"/>
    <w:rsid w:val="00D558F9"/>
    <w:rsid w:val="00D57547"/>
    <w:rsid w:val="00D60137"/>
    <w:rsid w:val="00D6173A"/>
    <w:rsid w:val="00D61E9B"/>
    <w:rsid w:val="00D65680"/>
    <w:rsid w:val="00D6604C"/>
    <w:rsid w:val="00D66756"/>
    <w:rsid w:val="00D67BAD"/>
    <w:rsid w:val="00D729A5"/>
    <w:rsid w:val="00D72ECB"/>
    <w:rsid w:val="00D76B5F"/>
    <w:rsid w:val="00D85AF2"/>
    <w:rsid w:val="00D86B2D"/>
    <w:rsid w:val="00D91190"/>
    <w:rsid w:val="00D91D3F"/>
    <w:rsid w:val="00D91FDE"/>
    <w:rsid w:val="00D95190"/>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27CB3"/>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1E98"/>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E7CAE"/>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1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E4A62-74A2-4794-8851-50B1D137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3</Pages>
  <Words>1238</Words>
  <Characters>6809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194</cp:revision>
  <cp:lastPrinted>2017-12-13T21:22:00Z</cp:lastPrinted>
  <dcterms:created xsi:type="dcterms:W3CDTF">2016-10-05T20:00:00Z</dcterms:created>
  <dcterms:modified xsi:type="dcterms:W3CDTF">2017-12-14T14:05:00Z</dcterms:modified>
</cp:coreProperties>
</file>