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A093C">
        <w:rPr>
          <w:rFonts w:ascii="Arial" w:hAnsi="Arial" w:cs="Arial"/>
          <w:b/>
          <w:bCs/>
          <w:iCs/>
          <w:sz w:val="26"/>
          <w:szCs w:val="22"/>
          <w:lang w:val="es-CR"/>
        </w:rPr>
        <w:t>015</w:t>
      </w:r>
      <w:r w:rsidRPr="00D958BC">
        <w:rPr>
          <w:rFonts w:ascii="Arial" w:hAnsi="Arial" w:cs="Arial"/>
          <w:b/>
          <w:bCs/>
          <w:iCs/>
          <w:sz w:val="26"/>
          <w:szCs w:val="22"/>
          <w:lang w:val="es-CR"/>
        </w:rPr>
        <w:t>-201</w:t>
      </w:r>
      <w:r w:rsidR="00796B12">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5302B" w:rsidRDefault="00190010" w:rsidP="00337455">
            <w:pPr>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Dr. Julio Calvo Alvarado</w:t>
            </w:r>
            <w:r w:rsidR="0090700F" w:rsidRPr="00E5302B">
              <w:rPr>
                <w:rFonts w:ascii="Arial" w:eastAsia="Cambria" w:hAnsi="Arial" w:cs="Arial"/>
                <w:sz w:val="20"/>
                <w:szCs w:val="20"/>
                <w:lang w:val="es-ES_tradnl" w:eastAsia="en-US"/>
              </w:rPr>
              <w:t>, Rector</w:t>
            </w:r>
          </w:p>
          <w:p w:rsidR="001A093C" w:rsidRPr="00E5302B" w:rsidRDefault="001A093C" w:rsidP="00337455">
            <w:pPr>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Dr. Humberto Villalta, Vicerrector de Administración</w:t>
            </w:r>
          </w:p>
          <w:p w:rsidR="001A093C" w:rsidRPr="00E5302B" w:rsidRDefault="001A093C" w:rsidP="00337455">
            <w:pPr>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 xml:space="preserve">Licda. Kathya Calderón, Directora Departamento de Aprovisionamiento </w:t>
            </w:r>
          </w:p>
          <w:p w:rsidR="00E5302B" w:rsidRPr="00E5302B" w:rsidRDefault="00E5302B" w:rsidP="00337455">
            <w:pPr>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Licda. Silvia Watson, Directora Departamento Financiero Contable</w:t>
            </w:r>
          </w:p>
          <w:p w:rsidR="00793F58" w:rsidRPr="00E5302B" w:rsidRDefault="00793F58" w:rsidP="00796B12">
            <w:pPr>
              <w:ind w:left="45"/>
              <w:jc w:val="both"/>
              <w:rPr>
                <w:rFonts w:ascii="Arial" w:eastAsia="Cambria" w:hAnsi="Arial" w:cs="Arial"/>
                <w:sz w:val="20"/>
                <w:szCs w:val="20"/>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E5302B" w:rsidRDefault="00841F61" w:rsidP="00841F61">
            <w:pPr>
              <w:ind w:left="45"/>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 xml:space="preserve">Licda. </w:t>
            </w:r>
            <w:proofErr w:type="spellStart"/>
            <w:r w:rsidRPr="00E5302B">
              <w:rPr>
                <w:rFonts w:ascii="Arial" w:eastAsia="Cambria" w:hAnsi="Arial" w:cs="Arial"/>
                <w:sz w:val="20"/>
                <w:szCs w:val="20"/>
                <w:lang w:val="es-ES_tradnl" w:eastAsia="en-US"/>
              </w:rPr>
              <w:t>Bertalía</w:t>
            </w:r>
            <w:proofErr w:type="spellEnd"/>
            <w:r w:rsidRPr="00E5302B">
              <w:rPr>
                <w:rFonts w:ascii="Arial" w:eastAsia="Cambria" w:hAnsi="Arial" w:cs="Arial"/>
                <w:sz w:val="20"/>
                <w:szCs w:val="20"/>
                <w:lang w:val="es-ES_tradnl" w:eastAsia="en-US"/>
              </w:rPr>
              <w:t xml:space="preserve"> Sánchez Sala</w:t>
            </w:r>
            <w:r w:rsidR="00224C36" w:rsidRPr="00E5302B">
              <w:rPr>
                <w:rFonts w:ascii="Arial" w:eastAsia="Cambria" w:hAnsi="Arial" w:cs="Arial"/>
                <w:sz w:val="20"/>
                <w:szCs w:val="20"/>
                <w:lang w:val="es-ES_tradnl" w:eastAsia="en-US"/>
              </w:rPr>
              <w:t>s</w:t>
            </w:r>
            <w:r w:rsidRPr="00E5302B">
              <w:rPr>
                <w:rFonts w:ascii="Arial" w:eastAsia="Cambria" w:hAnsi="Arial" w:cs="Arial"/>
                <w:sz w:val="20"/>
                <w:szCs w:val="20"/>
                <w:lang w:val="es-ES_tradnl" w:eastAsia="en-US"/>
              </w:rPr>
              <w:t>, Directora Ejecutiva</w:t>
            </w:r>
          </w:p>
          <w:p w:rsidR="00841F61" w:rsidRPr="00E5302B" w:rsidRDefault="00841F61" w:rsidP="00841F61">
            <w:pPr>
              <w:ind w:left="45"/>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Consejo Institucional</w:t>
            </w:r>
          </w:p>
          <w:p w:rsidR="007742A1" w:rsidRPr="00E5302B" w:rsidRDefault="00841F61" w:rsidP="00841F61">
            <w:pPr>
              <w:ind w:left="45"/>
              <w:jc w:val="both"/>
              <w:rPr>
                <w:rFonts w:ascii="Arial" w:eastAsia="Cambria" w:hAnsi="Arial" w:cs="Arial"/>
                <w:sz w:val="20"/>
                <w:szCs w:val="20"/>
                <w:lang w:val="es-ES_tradnl" w:eastAsia="en-US"/>
              </w:rPr>
            </w:pPr>
            <w:r w:rsidRPr="00E5302B">
              <w:rPr>
                <w:rFonts w:ascii="Arial" w:eastAsia="Cambria" w:hAnsi="Arial" w:cs="Arial"/>
                <w:sz w:val="20"/>
                <w:szCs w:val="20"/>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E5302B" w:rsidRDefault="007742A1" w:rsidP="007742A1">
            <w:pPr>
              <w:tabs>
                <w:tab w:val="right" w:pos="2410"/>
                <w:tab w:val="left" w:pos="2694"/>
              </w:tabs>
              <w:rPr>
                <w:rFonts w:ascii="Arial" w:eastAsia="Cambria" w:hAnsi="Arial" w:cs="Arial"/>
                <w:b/>
                <w:sz w:val="20"/>
                <w:szCs w:val="20"/>
                <w:lang w:eastAsia="en-US"/>
              </w:rPr>
            </w:pPr>
          </w:p>
          <w:p w:rsidR="007742A1" w:rsidRPr="00E5302B" w:rsidRDefault="00F52D32" w:rsidP="000B5852">
            <w:pPr>
              <w:jc w:val="both"/>
              <w:rPr>
                <w:rFonts w:ascii="Arial" w:eastAsia="Cambria" w:hAnsi="Arial" w:cs="Arial"/>
                <w:b/>
                <w:sz w:val="20"/>
                <w:szCs w:val="20"/>
                <w:lang w:val="es-ES_tradnl" w:eastAsia="en-US"/>
              </w:rPr>
            </w:pPr>
            <w:r w:rsidRPr="00E5302B">
              <w:rPr>
                <w:rFonts w:ascii="Arial" w:eastAsia="Cambria" w:hAnsi="Arial" w:cs="Arial"/>
                <w:b/>
                <w:sz w:val="20"/>
                <w:szCs w:val="20"/>
                <w:lang w:val="es-ES_tradnl" w:eastAsia="en-US"/>
              </w:rPr>
              <w:t>1</w:t>
            </w:r>
            <w:r w:rsidR="00796B12" w:rsidRPr="00E5302B">
              <w:rPr>
                <w:rFonts w:ascii="Arial" w:eastAsia="Cambria" w:hAnsi="Arial" w:cs="Arial"/>
                <w:b/>
                <w:sz w:val="20"/>
                <w:szCs w:val="20"/>
                <w:lang w:val="es-ES_tradnl" w:eastAsia="en-US"/>
              </w:rPr>
              <w:t>7</w:t>
            </w:r>
            <w:r w:rsidR="00044242" w:rsidRPr="00E5302B">
              <w:rPr>
                <w:rFonts w:ascii="Arial" w:eastAsia="Cambria" w:hAnsi="Arial" w:cs="Arial"/>
                <w:b/>
                <w:sz w:val="20"/>
                <w:szCs w:val="20"/>
                <w:lang w:val="es-ES_tradnl" w:eastAsia="en-US"/>
              </w:rPr>
              <w:t xml:space="preserve"> </w:t>
            </w:r>
            <w:r w:rsidR="007742A1" w:rsidRPr="00E5302B">
              <w:rPr>
                <w:rFonts w:ascii="Arial" w:eastAsia="Cambria" w:hAnsi="Arial" w:cs="Arial"/>
                <w:b/>
                <w:sz w:val="20"/>
                <w:szCs w:val="20"/>
                <w:lang w:val="es-ES_tradnl" w:eastAsia="en-US"/>
              </w:rPr>
              <w:t xml:space="preserve">de </w:t>
            </w:r>
            <w:r w:rsidR="00190010" w:rsidRPr="00E5302B">
              <w:rPr>
                <w:rFonts w:ascii="Arial" w:eastAsia="Cambria" w:hAnsi="Arial" w:cs="Arial"/>
                <w:b/>
                <w:sz w:val="20"/>
                <w:szCs w:val="20"/>
                <w:lang w:val="es-ES_tradnl" w:eastAsia="en-US"/>
              </w:rPr>
              <w:t>e</w:t>
            </w:r>
            <w:r w:rsidR="00796B12" w:rsidRPr="00E5302B">
              <w:rPr>
                <w:rFonts w:ascii="Arial" w:eastAsia="Cambria" w:hAnsi="Arial" w:cs="Arial"/>
                <w:b/>
                <w:sz w:val="20"/>
                <w:szCs w:val="20"/>
                <w:lang w:val="es-ES_tradnl" w:eastAsia="en-US"/>
              </w:rPr>
              <w:t>nero</w:t>
            </w:r>
            <w:r w:rsidR="007742A1" w:rsidRPr="00E5302B">
              <w:rPr>
                <w:rFonts w:ascii="Arial" w:eastAsia="Cambria" w:hAnsi="Arial" w:cs="Arial"/>
                <w:b/>
                <w:sz w:val="20"/>
                <w:szCs w:val="20"/>
                <w:lang w:val="es-ES_tradnl" w:eastAsia="en-US"/>
              </w:rPr>
              <w:t xml:space="preserve"> de 201</w:t>
            </w:r>
            <w:r w:rsidR="00796B12" w:rsidRPr="00E5302B">
              <w:rPr>
                <w:rFonts w:ascii="Arial" w:eastAsia="Cambria" w:hAnsi="Arial" w:cs="Arial"/>
                <w:b/>
                <w:sz w:val="20"/>
                <w:szCs w:val="20"/>
                <w:lang w:val="es-ES_tradnl" w:eastAsia="en-US"/>
              </w:rPr>
              <w:t>8</w:t>
            </w:r>
          </w:p>
          <w:p w:rsidR="007F1052" w:rsidRPr="00E5302B"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A5408" w:rsidRPr="00E5302B" w:rsidRDefault="007742A1" w:rsidP="001A093C">
            <w:pPr>
              <w:pStyle w:val="Prrafodelista"/>
              <w:ind w:left="-31"/>
              <w:jc w:val="both"/>
              <w:rPr>
                <w:rFonts w:ascii="Arial" w:eastAsia="Cambria" w:hAnsi="Arial" w:cs="Arial"/>
                <w:b/>
                <w:sz w:val="20"/>
                <w:szCs w:val="20"/>
                <w:highlight w:val="yellow"/>
                <w:lang w:val="es-CR" w:eastAsia="en-US"/>
              </w:rPr>
            </w:pPr>
            <w:r w:rsidRPr="00E5302B">
              <w:rPr>
                <w:rFonts w:ascii="Arial" w:eastAsia="Calibri" w:hAnsi="Arial" w:cs="Arial"/>
                <w:b/>
                <w:sz w:val="20"/>
                <w:szCs w:val="20"/>
              </w:rPr>
              <w:t xml:space="preserve">Sesión Ordinaria No. </w:t>
            </w:r>
            <w:r w:rsidR="00337455" w:rsidRPr="00E5302B">
              <w:rPr>
                <w:rFonts w:ascii="Arial" w:eastAsia="Calibri" w:hAnsi="Arial" w:cs="Arial"/>
                <w:b/>
                <w:sz w:val="20"/>
                <w:szCs w:val="20"/>
              </w:rPr>
              <w:t>30</w:t>
            </w:r>
            <w:r w:rsidR="000A5408" w:rsidRPr="00E5302B">
              <w:rPr>
                <w:rFonts w:ascii="Arial" w:eastAsia="Calibri" w:hAnsi="Arial" w:cs="Arial"/>
                <w:b/>
                <w:sz w:val="20"/>
                <w:szCs w:val="20"/>
              </w:rPr>
              <w:t>5</w:t>
            </w:r>
            <w:r w:rsidR="00796B12" w:rsidRPr="00E5302B">
              <w:rPr>
                <w:rFonts w:ascii="Arial" w:eastAsia="Calibri" w:hAnsi="Arial" w:cs="Arial"/>
                <w:b/>
                <w:sz w:val="20"/>
                <w:szCs w:val="20"/>
              </w:rPr>
              <w:t>2</w:t>
            </w:r>
            <w:r w:rsidRPr="00E5302B">
              <w:rPr>
                <w:rFonts w:ascii="Arial" w:eastAsia="Calibri" w:hAnsi="Arial" w:cs="Arial"/>
                <w:b/>
                <w:sz w:val="20"/>
                <w:szCs w:val="20"/>
              </w:rPr>
              <w:t>, Artículo</w:t>
            </w:r>
            <w:r w:rsidR="00437F0F" w:rsidRPr="00E5302B">
              <w:rPr>
                <w:rFonts w:ascii="Arial" w:eastAsia="Calibri" w:hAnsi="Arial" w:cs="Arial"/>
                <w:b/>
                <w:sz w:val="20"/>
                <w:szCs w:val="20"/>
              </w:rPr>
              <w:t xml:space="preserve"> </w:t>
            </w:r>
            <w:r w:rsidR="000F5C99" w:rsidRPr="00E5302B">
              <w:rPr>
                <w:rFonts w:ascii="Arial" w:eastAsia="Calibri" w:hAnsi="Arial" w:cs="Arial"/>
                <w:b/>
                <w:sz w:val="20"/>
                <w:szCs w:val="20"/>
              </w:rPr>
              <w:t>1</w:t>
            </w:r>
            <w:r w:rsidR="001A093C" w:rsidRPr="00E5302B">
              <w:rPr>
                <w:rFonts w:ascii="Arial" w:eastAsia="Calibri" w:hAnsi="Arial" w:cs="Arial"/>
                <w:b/>
                <w:sz w:val="20"/>
                <w:szCs w:val="20"/>
              </w:rPr>
              <w:t>1</w:t>
            </w:r>
            <w:r w:rsidR="00337455" w:rsidRPr="00E5302B">
              <w:rPr>
                <w:rFonts w:ascii="Arial" w:eastAsia="Calibri" w:hAnsi="Arial" w:cs="Arial"/>
                <w:b/>
                <w:sz w:val="20"/>
                <w:szCs w:val="20"/>
              </w:rPr>
              <w:t>,</w:t>
            </w:r>
            <w:r w:rsidRPr="00E5302B">
              <w:rPr>
                <w:rFonts w:ascii="Arial" w:eastAsia="Calibri" w:hAnsi="Arial" w:cs="Arial"/>
                <w:b/>
                <w:sz w:val="20"/>
                <w:szCs w:val="20"/>
              </w:rPr>
              <w:t xml:space="preserve"> del </w:t>
            </w:r>
            <w:r w:rsidR="00796B12" w:rsidRPr="00E5302B">
              <w:rPr>
                <w:rFonts w:ascii="Arial" w:eastAsia="Calibri" w:hAnsi="Arial" w:cs="Arial"/>
                <w:b/>
                <w:sz w:val="20"/>
                <w:szCs w:val="20"/>
              </w:rPr>
              <w:t>17</w:t>
            </w:r>
            <w:r w:rsidRPr="00E5302B">
              <w:rPr>
                <w:rFonts w:ascii="Arial" w:eastAsia="Calibri" w:hAnsi="Arial" w:cs="Arial"/>
                <w:b/>
                <w:sz w:val="20"/>
                <w:szCs w:val="20"/>
              </w:rPr>
              <w:t xml:space="preserve"> de </w:t>
            </w:r>
            <w:r w:rsidR="00AA0A77" w:rsidRPr="00E5302B">
              <w:rPr>
                <w:rFonts w:ascii="Arial" w:eastAsia="Calibri" w:hAnsi="Arial" w:cs="Arial"/>
                <w:b/>
                <w:sz w:val="20"/>
                <w:szCs w:val="20"/>
              </w:rPr>
              <w:t>e</w:t>
            </w:r>
            <w:r w:rsidR="00796B12" w:rsidRPr="00E5302B">
              <w:rPr>
                <w:rFonts w:ascii="Arial" w:eastAsia="Calibri" w:hAnsi="Arial" w:cs="Arial"/>
                <w:b/>
                <w:sz w:val="20"/>
                <w:szCs w:val="20"/>
              </w:rPr>
              <w:t>nero</w:t>
            </w:r>
            <w:r w:rsidR="007A2D73" w:rsidRPr="00E5302B">
              <w:rPr>
                <w:rFonts w:ascii="Arial" w:eastAsia="Calibri" w:hAnsi="Arial" w:cs="Arial"/>
                <w:b/>
                <w:sz w:val="20"/>
                <w:szCs w:val="20"/>
              </w:rPr>
              <w:t xml:space="preserve"> </w:t>
            </w:r>
            <w:r w:rsidR="00A772EF" w:rsidRPr="00E5302B">
              <w:rPr>
                <w:rFonts w:ascii="Arial" w:eastAsia="Calibri" w:hAnsi="Arial" w:cs="Arial"/>
                <w:b/>
                <w:sz w:val="20"/>
                <w:szCs w:val="20"/>
              </w:rPr>
              <w:t>de 201</w:t>
            </w:r>
            <w:r w:rsidR="00796B12" w:rsidRPr="00E5302B">
              <w:rPr>
                <w:rFonts w:ascii="Arial" w:eastAsia="Calibri" w:hAnsi="Arial" w:cs="Arial"/>
                <w:b/>
                <w:sz w:val="20"/>
                <w:szCs w:val="20"/>
              </w:rPr>
              <w:t>8</w:t>
            </w:r>
            <w:r w:rsidR="00457DD8" w:rsidRPr="00E5302B">
              <w:rPr>
                <w:rFonts w:ascii="Arial" w:eastAsia="Calibri" w:hAnsi="Arial" w:cs="Arial"/>
                <w:b/>
                <w:sz w:val="20"/>
                <w:szCs w:val="20"/>
              </w:rPr>
              <w:t xml:space="preserve">.  </w:t>
            </w:r>
            <w:r w:rsidR="00796B12" w:rsidRPr="00E5302B">
              <w:rPr>
                <w:rFonts w:ascii="Arial" w:eastAsia="Cambria" w:hAnsi="Arial" w:cs="Arial"/>
                <w:b/>
                <w:bCs/>
                <w:sz w:val="20"/>
                <w:szCs w:val="20"/>
                <w:lang w:val="es-CR" w:eastAsia="en-US"/>
              </w:rPr>
              <w:t>Informe Adjudicación de Licitación Pública No. 2017LN-000006-APITCR “Selección de un máximo de tres agencias de viajes para el suministro de tiquetes aéreos</w:t>
            </w:r>
          </w:p>
        </w:tc>
      </w:tr>
    </w:tbl>
    <w:p w:rsidR="00796B12" w:rsidRDefault="00796B12"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1A093C" w:rsidRPr="001A093C" w:rsidRDefault="001A093C" w:rsidP="001A093C">
      <w:pPr>
        <w:jc w:val="both"/>
        <w:outlineLvl w:val="0"/>
        <w:rPr>
          <w:rFonts w:ascii="Arial" w:hAnsi="Arial" w:cs="Arial"/>
          <w:b/>
          <w:sz w:val="22"/>
          <w:szCs w:val="22"/>
        </w:rPr>
      </w:pPr>
      <w:r w:rsidRPr="001A093C">
        <w:rPr>
          <w:rFonts w:ascii="Arial" w:hAnsi="Arial" w:cs="Arial"/>
          <w:b/>
          <w:sz w:val="22"/>
          <w:szCs w:val="22"/>
        </w:rPr>
        <w:t>RESULTANDO QUE:</w:t>
      </w:r>
    </w:p>
    <w:p w:rsidR="001A093C" w:rsidRPr="001A093C" w:rsidRDefault="001A093C" w:rsidP="001A093C">
      <w:pPr>
        <w:contextualSpacing/>
        <w:jc w:val="both"/>
        <w:outlineLvl w:val="0"/>
        <w:rPr>
          <w:rFonts w:ascii="Arial" w:hAnsi="Arial" w:cs="Arial"/>
          <w:b/>
        </w:rPr>
      </w:pPr>
    </w:p>
    <w:p w:rsidR="001A093C" w:rsidRPr="001A093C" w:rsidRDefault="001A093C" w:rsidP="001A093C">
      <w:pPr>
        <w:numPr>
          <w:ilvl w:val="0"/>
          <w:numId w:val="14"/>
        </w:numPr>
        <w:tabs>
          <w:tab w:val="left" w:pos="0"/>
        </w:tabs>
        <w:ind w:left="392"/>
        <w:contextualSpacing/>
        <w:jc w:val="both"/>
        <w:outlineLvl w:val="0"/>
        <w:rPr>
          <w:rFonts w:ascii="Arial" w:hAnsi="Arial" w:cs="Arial"/>
          <w:bCs/>
          <w:lang w:val="es-CR"/>
        </w:rPr>
      </w:pPr>
      <w:r w:rsidRPr="001A093C">
        <w:rPr>
          <w:rFonts w:ascii="Arial" w:hAnsi="Arial" w:cs="Arial"/>
          <w:bCs/>
          <w:lang w:val="es-CR"/>
        </w:rPr>
        <w:t>El Artículo 18, inciso h del Estatuto Orgánico del Instituto Tecnológico de Costa Rica, señala:</w:t>
      </w:r>
    </w:p>
    <w:p w:rsidR="001A093C" w:rsidRPr="001A093C" w:rsidRDefault="001A093C" w:rsidP="001A093C">
      <w:pPr>
        <w:tabs>
          <w:tab w:val="left" w:pos="0"/>
          <w:tab w:val="center" w:pos="4986"/>
        </w:tabs>
        <w:ind w:left="567"/>
        <w:contextualSpacing/>
        <w:jc w:val="both"/>
        <w:outlineLvl w:val="0"/>
        <w:rPr>
          <w:rFonts w:ascii="Verdana" w:hAnsi="Verdana"/>
          <w:color w:val="4682B4"/>
          <w:sz w:val="20"/>
          <w:szCs w:val="20"/>
          <w:lang w:val="es-CR"/>
        </w:rPr>
      </w:pPr>
    </w:p>
    <w:p w:rsidR="001A093C" w:rsidRPr="001A093C" w:rsidRDefault="001A093C" w:rsidP="001A093C">
      <w:pPr>
        <w:tabs>
          <w:tab w:val="left" w:pos="709"/>
          <w:tab w:val="center" w:pos="4986"/>
        </w:tabs>
        <w:ind w:left="851" w:hanging="142"/>
        <w:contextualSpacing/>
        <w:jc w:val="both"/>
        <w:outlineLvl w:val="0"/>
        <w:rPr>
          <w:rFonts w:ascii="Arial" w:hAnsi="Arial" w:cs="Arial"/>
          <w:i/>
          <w:sz w:val="22"/>
          <w:szCs w:val="22"/>
          <w:lang w:val="es-CR"/>
        </w:rPr>
      </w:pPr>
      <w:r w:rsidRPr="001A093C">
        <w:rPr>
          <w:rFonts w:ascii="Arial" w:hAnsi="Arial" w:cs="Arial"/>
          <w:i/>
          <w:sz w:val="22"/>
          <w:szCs w:val="22"/>
          <w:lang w:val="es-CR"/>
        </w:rPr>
        <w:t>“Son funciones del Consejo Institucional:</w:t>
      </w:r>
    </w:p>
    <w:p w:rsidR="001A093C" w:rsidRPr="001A093C" w:rsidRDefault="001A093C" w:rsidP="001A093C">
      <w:pPr>
        <w:tabs>
          <w:tab w:val="left" w:pos="709"/>
          <w:tab w:val="center" w:pos="4986"/>
        </w:tabs>
        <w:ind w:left="851"/>
        <w:contextualSpacing/>
        <w:jc w:val="both"/>
        <w:outlineLvl w:val="0"/>
        <w:rPr>
          <w:rFonts w:ascii="Arial" w:hAnsi="Arial" w:cs="Arial"/>
          <w:i/>
          <w:sz w:val="22"/>
          <w:szCs w:val="22"/>
          <w:lang w:val="es-CR"/>
        </w:rPr>
      </w:pPr>
      <w:r w:rsidRPr="001A093C">
        <w:rPr>
          <w:rFonts w:ascii="Arial" w:hAnsi="Arial" w:cs="Arial"/>
          <w:i/>
          <w:sz w:val="22"/>
          <w:szCs w:val="22"/>
          <w:lang w:val="es-CR"/>
        </w:rPr>
        <w:t>“a…</w:t>
      </w:r>
    </w:p>
    <w:p w:rsidR="001A093C" w:rsidRPr="001A093C" w:rsidRDefault="001A093C" w:rsidP="001A093C">
      <w:pPr>
        <w:ind w:left="1134" w:right="448" w:hanging="283"/>
        <w:contextualSpacing/>
        <w:jc w:val="both"/>
        <w:outlineLvl w:val="0"/>
        <w:rPr>
          <w:rFonts w:ascii="Arial" w:hAnsi="Arial" w:cs="Arial"/>
          <w:i/>
          <w:sz w:val="22"/>
          <w:szCs w:val="22"/>
          <w:lang w:val="es-CR"/>
        </w:rPr>
      </w:pPr>
      <w:r w:rsidRPr="001A093C">
        <w:rPr>
          <w:rFonts w:ascii="Arial" w:hAnsi="Arial" w:cs="Arial"/>
          <w:i/>
          <w:sz w:val="22"/>
          <w:szCs w:val="22"/>
          <w:lang w:val="es-CR"/>
        </w:rPr>
        <w:t>h. Decidir sobre las licitaciones públicas según lo estipulado en el reglamento correspondiente”.</w:t>
      </w:r>
    </w:p>
    <w:p w:rsidR="001A093C" w:rsidRPr="001A093C" w:rsidRDefault="001A093C" w:rsidP="001A093C">
      <w:pPr>
        <w:ind w:left="1134" w:right="448" w:hanging="283"/>
        <w:contextualSpacing/>
        <w:jc w:val="both"/>
        <w:outlineLvl w:val="0"/>
        <w:rPr>
          <w:rFonts w:ascii="Arial" w:hAnsi="Arial" w:cs="Arial"/>
          <w:i/>
          <w:sz w:val="22"/>
          <w:szCs w:val="22"/>
          <w:lang w:val="es-CR"/>
        </w:rPr>
      </w:pPr>
    </w:p>
    <w:p w:rsidR="001A093C" w:rsidRPr="001A093C" w:rsidRDefault="001A093C" w:rsidP="001A093C">
      <w:pPr>
        <w:jc w:val="both"/>
        <w:outlineLvl w:val="0"/>
        <w:rPr>
          <w:rFonts w:ascii="Arial" w:hAnsi="Arial" w:cs="Arial"/>
          <w:b/>
          <w:sz w:val="22"/>
          <w:szCs w:val="22"/>
        </w:rPr>
      </w:pPr>
      <w:r w:rsidRPr="001A093C">
        <w:rPr>
          <w:rFonts w:ascii="Arial" w:hAnsi="Arial" w:cs="Arial"/>
          <w:b/>
          <w:sz w:val="22"/>
          <w:szCs w:val="22"/>
        </w:rPr>
        <w:t>CONSIDERANDO QUE:</w:t>
      </w:r>
    </w:p>
    <w:p w:rsidR="001A093C" w:rsidRPr="001A093C" w:rsidRDefault="001A093C" w:rsidP="001A093C">
      <w:pPr>
        <w:contextualSpacing/>
        <w:jc w:val="both"/>
        <w:outlineLvl w:val="0"/>
        <w:rPr>
          <w:rFonts w:ascii="Arial" w:hAnsi="Arial" w:cs="Arial"/>
          <w:b/>
          <w:sz w:val="22"/>
          <w:szCs w:val="22"/>
        </w:rPr>
      </w:pPr>
      <w:r w:rsidRPr="001A093C">
        <w:rPr>
          <w:rFonts w:ascii="Arial" w:hAnsi="Arial" w:cs="Arial"/>
          <w:b/>
          <w:sz w:val="22"/>
          <w:szCs w:val="22"/>
        </w:rPr>
        <w:t xml:space="preserve"> </w:t>
      </w:r>
    </w:p>
    <w:p w:rsidR="001A093C" w:rsidRPr="001A093C" w:rsidRDefault="001A093C" w:rsidP="001A093C">
      <w:pPr>
        <w:numPr>
          <w:ilvl w:val="0"/>
          <w:numId w:val="23"/>
        </w:numPr>
        <w:tabs>
          <w:tab w:val="left" w:pos="0"/>
          <w:tab w:val="center" w:pos="4986"/>
        </w:tabs>
        <w:ind w:left="426"/>
        <w:contextualSpacing/>
        <w:jc w:val="both"/>
        <w:outlineLvl w:val="0"/>
        <w:rPr>
          <w:rFonts w:ascii="Arial" w:hAnsi="Arial" w:cs="Arial"/>
        </w:rPr>
      </w:pPr>
      <w:r w:rsidRPr="001A093C">
        <w:rPr>
          <w:rFonts w:ascii="Arial" w:hAnsi="Arial" w:cs="Arial"/>
          <w:bCs/>
        </w:rPr>
        <w:t xml:space="preserve">La </w:t>
      </w:r>
      <w:r w:rsidRPr="001A093C">
        <w:rPr>
          <w:rFonts w:ascii="Arial" w:hAnsi="Arial" w:cs="Arial"/>
          <w:bCs/>
          <w:lang w:val="es-CR"/>
        </w:rPr>
        <w:t>Secretaría</w:t>
      </w:r>
      <w:r w:rsidRPr="001A093C">
        <w:rPr>
          <w:rFonts w:ascii="Arial" w:hAnsi="Arial" w:cs="Arial"/>
          <w:bCs/>
        </w:rPr>
        <w:t xml:space="preserve"> del Consejo Institucional, recibe oficio VAD-959-2017, con fecha de recibido 12 de diciembre de 2017, suscrito por el MBA. Humberto Villalta, Vicerrector de Administración, dirigido a la </w:t>
      </w:r>
      <w:proofErr w:type="spellStart"/>
      <w:r w:rsidRPr="001A093C">
        <w:rPr>
          <w:rFonts w:ascii="Arial" w:hAnsi="Arial" w:cs="Arial"/>
          <w:bCs/>
        </w:rPr>
        <w:t>MSc</w:t>
      </w:r>
      <w:proofErr w:type="spellEnd"/>
      <w:r w:rsidRPr="001A093C">
        <w:rPr>
          <w:rFonts w:ascii="Arial" w:hAnsi="Arial" w:cs="Arial"/>
          <w:bCs/>
        </w:rPr>
        <w:t xml:space="preserve">. Ana Rosa Ruiz Fernández, Coordinadora de la Comisión de Planificación y Administración, con copia a los Miembros del Consejo Institucional,  en el cual para análisis de la Comisión de Planificación y Administración y posterior aprobación del Consejo Institucional, adjunta el </w:t>
      </w:r>
      <w:r w:rsidRPr="001A093C">
        <w:rPr>
          <w:rFonts w:ascii="Arial" w:hAnsi="Arial" w:cs="Arial"/>
        </w:rPr>
        <w:t>Informe de Adjudicación y Expediente de la Licitación Pública No. 2017LN-000006-APITCR “Selección de un máximo de tres agencias de viajes para el suministro de tiquetes aéreos”, el cual cuenta con el visto bueno de la Oficina de Asesoría Legal 676-2017, el cual se adjunta. (Anexo 1).</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Bien a adquirir</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Mediante este proceso se precalificarán las agencias de viajes para el suministro de tiquetes aéreos para los funcionarios, estudiantes, delegados e invitados de las distintas dependencias Institucionales.</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Invitación</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Se cursó invitación según los procedimientos legales establecidos para las licitaciones públicas, sea, mediante invitación publicada en el Diario oficial La Gaceta, número 189 del día 05 de octubre del 2017. (Folio 0024 del expediente administrativo).</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lastRenderedPageBreak/>
        <w:t>Solicitud de Cartel</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Solicitaron el cartel vía correo electrónico un total de seis posibles oferentes a saber: (Véase Folios del 025 al 043 del expediente).</w:t>
      </w:r>
    </w:p>
    <w:p w:rsidR="001A093C" w:rsidRPr="001A093C" w:rsidRDefault="001A093C" w:rsidP="001A093C">
      <w:pPr>
        <w:rPr>
          <w:rFonts w:ascii="Arial" w:hAnsi="Arial" w:cs="Arial"/>
          <w:sz w:val="16"/>
          <w:szCs w:val="16"/>
        </w:rPr>
      </w:pPr>
    </w:p>
    <w:p w:rsidR="001A093C" w:rsidRPr="001A093C" w:rsidRDefault="001A093C" w:rsidP="001A093C">
      <w:pPr>
        <w:numPr>
          <w:ilvl w:val="0"/>
          <w:numId w:val="17"/>
        </w:numPr>
        <w:tabs>
          <w:tab w:val="left" w:pos="426"/>
        </w:tabs>
        <w:ind w:left="993"/>
        <w:rPr>
          <w:rFonts w:ascii="Arial" w:hAnsi="Arial" w:cs="Arial"/>
          <w:b/>
          <w:sz w:val="22"/>
          <w:szCs w:val="22"/>
          <w:lang w:val="es-CR"/>
        </w:rPr>
      </w:pPr>
      <w:r w:rsidRPr="001A093C">
        <w:rPr>
          <w:rFonts w:ascii="Arial" w:hAnsi="Arial" w:cs="Arial"/>
          <w:b/>
          <w:sz w:val="22"/>
          <w:szCs w:val="22"/>
          <w:lang w:val="es-CR"/>
        </w:rPr>
        <w:t>Viaje Fácil CR</w:t>
      </w:r>
    </w:p>
    <w:p w:rsidR="001A093C" w:rsidRPr="001A093C" w:rsidRDefault="001A093C" w:rsidP="001A093C">
      <w:pPr>
        <w:numPr>
          <w:ilvl w:val="0"/>
          <w:numId w:val="17"/>
        </w:numPr>
        <w:tabs>
          <w:tab w:val="left" w:pos="426"/>
        </w:tabs>
        <w:ind w:left="993"/>
        <w:rPr>
          <w:rFonts w:ascii="Arial" w:hAnsi="Arial" w:cs="Arial"/>
          <w:b/>
          <w:sz w:val="22"/>
          <w:szCs w:val="22"/>
          <w:lang w:val="en-US"/>
        </w:rPr>
      </w:pPr>
      <w:r w:rsidRPr="001A093C">
        <w:rPr>
          <w:rFonts w:ascii="Arial" w:hAnsi="Arial" w:cs="Arial"/>
          <w:b/>
          <w:sz w:val="22"/>
          <w:szCs w:val="22"/>
          <w:lang w:val="en-US"/>
        </w:rPr>
        <w:t>Carlson Wagonlit Travel</w:t>
      </w:r>
    </w:p>
    <w:p w:rsidR="001A093C" w:rsidRPr="001A093C" w:rsidRDefault="001A093C" w:rsidP="001A093C">
      <w:pPr>
        <w:numPr>
          <w:ilvl w:val="0"/>
          <w:numId w:val="17"/>
        </w:numPr>
        <w:tabs>
          <w:tab w:val="left" w:pos="426"/>
        </w:tabs>
        <w:ind w:left="993"/>
        <w:rPr>
          <w:rFonts w:ascii="Arial" w:hAnsi="Arial" w:cs="Arial"/>
          <w:b/>
          <w:sz w:val="22"/>
          <w:szCs w:val="22"/>
          <w:lang w:val="en-US"/>
        </w:rPr>
      </w:pPr>
      <w:proofErr w:type="spellStart"/>
      <w:r w:rsidRPr="001A093C">
        <w:rPr>
          <w:rFonts w:ascii="Arial" w:hAnsi="Arial" w:cs="Arial"/>
          <w:b/>
          <w:sz w:val="22"/>
          <w:szCs w:val="22"/>
          <w:lang w:val="en-US"/>
        </w:rPr>
        <w:t>Lexing</w:t>
      </w:r>
      <w:proofErr w:type="spellEnd"/>
      <w:r w:rsidRPr="001A093C">
        <w:rPr>
          <w:rFonts w:ascii="Arial" w:hAnsi="Arial" w:cs="Arial"/>
          <w:b/>
          <w:sz w:val="22"/>
          <w:szCs w:val="22"/>
          <w:lang w:val="en-US"/>
        </w:rPr>
        <w:t xml:space="preserve"> Costa Rica</w:t>
      </w:r>
    </w:p>
    <w:p w:rsidR="001A093C" w:rsidRPr="001A093C" w:rsidRDefault="001A093C" w:rsidP="001A093C">
      <w:pPr>
        <w:numPr>
          <w:ilvl w:val="0"/>
          <w:numId w:val="17"/>
        </w:numPr>
        <w:tabs>
          <w:tab w:val="left" w:pos="426"/>
        </w:tabs>
        <w:ind w:left="993"/>
        <w:rPr>
          <w:rFonts w:ascii="Arial" w:hAnsi="Arial" w:cs="Arial"/>
          <w:b/>
          <w:sz w:val="22"/>
          <w:szCs w:val="22"/>
          <w:lang w:val="en-US"/>
        </w:rPr>
      </w:pPr>
      <w:r w:rsidRPr="001A093C">
        <w:rPr>
          <w:rFonts w:ascii="Arial" w:hAnsi="Arial" w:cs="Arial"/>
          <w:b/>
          <w:sz w:val="22"/>
          <w:szCs w:val="22"/>
          <w:lang w:val="en-US"/>
        </w:rPr>
        <w:t xml:space="preserve">Alejandro </w:t>
      </w:r>
      <w:proofErr w:type="spellStart"/>
      <w:r w:rsidRPr="001A093C">
        <w:rPr>
          <w:rFonts w:ascii="Arial" w:hAnsi="Arial" w:cs="Arial"/>
          <w:b/>
          <w:sz w:val="22"/>
          <w:szCs w:val="22"/>
          <w:lang w:val="en-US"/>
        </w:rPr>
        <w:t>Gatjens</w:t>
      </w:r>
      <w:proofErr w:type="spellEnd"/>
    </w:p>
    <w:p w:rsidR="001A093C" w:rsidRPr="001A093C" w:rsidRDefault="001A093C" w:rsidP="001A093C">
      <w:pPr>
        <w:numPr>
          <w:ilvl w:val="0"/>
          <w:numId w:val="17"/>
        </w:numPr>
        <w:tabs>
          <w:tab w:val="left" w:pos="426"/>
        </w:tabs>
        <w:ind w:left="993"/>
        <w:rPr>
          <w:rFonts w:ascii="Arial" w:hAnsi="Arial" w:cs="Arial"/>
          <w:b/>
          <w:sz w:val="22"/>
          <w:szCs w:val="22"/>
          <w:lang w:val="es-CR"/>
        </w:rPr>
      </w:pPr>
      <w:r w:rsidRPr="001A093C">
        <w:rPr>
          <w:rFonts w:ascii="Arial" w:hAnsi="Arial" w:cs="Arial"/>
          <w:b/>
          <w:sz w:val="22"/>
          <w:szCs w:val="22"/>
          <w:lang w:val="es-CR"/>
        </w:rPr>
        <w:t>Viajes Ejecutivos Mundiales S.A.</w:t>
      </w:r>
    </w:p>
    <w:p w:rsidR="001A093C" w:rsidRPr="001A093C" w:rsidRDefault="001A093C" w:rsidP="001A093C">
      <w:pPr>
        <w:numPr>
          <w:ilvl w:val="0"/>
          <w:numId w:val="17"/>
        </w:numPr>
        <w:tabs>
          <w:tab w:val="left" w:pos="426"/>
        </w:tabs>
        <w:ind w:left="993"/>
        <w:rPr>
          <w:rFonts w:ascii="Arial" w:hAnsi="Arial" w:cs="Arial"/>
          <w:b/>
          <w:sz w:val="22"/>
          <w:szCs w:val="22"/>
          <w:lang w:val="es-CR"/>
        </w:rPr>
      </w:pPr>
      <w:r w:rsidRPr="001A093C">
        <w:rPr>
          <w:rFonts w:ascii="Arial" w:hAnsi="Arial" w:cs="Arial"/>
          <w:b/>
          <w:sz w:val="22"/>
          <w:szCs w:val="22"/>
          <w:lang w:val="es-CR"/>
        </w:rPr>
        <w:t>Caravana Internacional S.A.</w:t>
      </w:r>
    </w:p>
    <w:p w:rsidR="001A093C" w:rsidRPr="001A093C" w:rsidRDefault="001A093C" w:rsidP="001A093C">
      <w:pPr>
        <w:numPr>
          <w:ilvl w:val="0"/>
          <w:numId w:val="17"/>
        </w:numPr>
        <w:tabs>
          <w:tab w:val="left" w:pos="426"/>
        </w:tabs>
        <w:ind w:left="993"/>
        <w:rPr>
          <w:rFonts w:ascii="Arial" w:hAnsi="Arial" w:cs="Arial"/>
          <w:b/>
          <w:sz w:val="22"/>
          <w:szCs w:val="22"/>
          <w:lang w:val="es-CR"/>
        </w:rPr>
      </w:pPr>
      <w:proofErr w:type="spellStart"/>
      <w:r w:rsidRPr="001A093C">
        <w:rPr>
          <w:rFonts w:ascii="Arial" w:hAnsi="Arial" w:cs="Arial"/>
          <w:b/>
          <w:sz w:val="22"/>
          <w:szCs w:val="22"/>
          <w:lang w:val="es-CR"/>
        </w:rPr>
        <w:t>Connexis</w:t>
      </w:r>
      <w:proofErr w:type="spellEnd"/>
      <w:r w:rsidRPr="001A093C">
        <w:rPr>
          <w:rFonts w:ascii="Arial" w:hAnsi="Arial" w:cs="Arial"/>
          <w:b/>
          <w:sz w:val="22"/>
          <w:szCs w:val="22"/>
          <w:lang w:val="es-CR"/>
        </w:rPr>
        <w:t xml:space="preserve"> International</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Recepción y Apertura de Ofertas</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La apertura se realiza el 09 de noviembre de 2017 a las diez horas (10:00 a.m.), en el Departamento de Aprovisionamiento según consta en el folio 235 del Libro de Actas de Apertura (Véase Folio 210 del expediente).</w:t>
      </w:r>
    </w:p>
    <w:p w:rsidR="001A093C" w:rsidRPr="001A093C" w:rsidRDefault="001A093C" w:rsidP="001A093C">
      <w:pPr>
        <w:ind w:left="567"/>
        <w:jc w:val="both"/>
        <w:rPr>
          <w:rFonts w:ascii="Arial" w:hAnsi="Arial" w:cs="Arial"/>
          <w:bCs/>
          <w:i/>
          <w:sz w:val="22"/>
          <w:szCs w:val="22"/>
        </w:rPr>
      </w:pP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Se reciben dos ofertas: (Véase folios del 0044 al 0208 del expediente).</w:t>
      </w:r>
    </w:p>
    <w:p w:rsidR="001A093C" w:rsidRPr="001A093C" w:rsidRDefault="001A093C" w:rsidP="001A093C">
      <w:pPr>
        <w:jc w:val="both"/>
        <w:rPr>
          <w:rFonts w:ascii="Arial" w:hAnsi="Arial" w:cs="Arial"/>
          <w:bCs/>
          <w:sz w:val="22"/>
          <w:szCs w:val="22"/>
        </w:rPr>
      </w:pPr>
    </w:p>
    <w:p w:rsidR="001A093C" w:rsidRPr="001A093C" w:rsidRDefault="001A093C" w:rsidP="001A093C">
      <w:pPr>
        <w:numPr>
          <w:ilvl w:val="0"/>
          <w:numId w:val="18"/>
        </w:numPr>
        <w:tabs>
          <w:tab w:val="left" w:pos="426"/>
        </w:tabs>
        <w:ind w:left="993"/>
        <w:rPr>
          <w:rFonts w:ascii="Arial" w:hAnsi="Arial" w:cs="Arial"/>
          <w:b/>
          <w:sz w:val="22"/>
          <w:szCs w:val="22"/>
          <w:lang w:val="es-CR"/>
        </w:rPr>
      </w:pPr>
      <w:r w:rsidRPr="001A093C">
        <w:rPr>
          <w:rFonts w:ascii="Arial" w:hAnsi="Arial" w:cs="Arial"/>
          <w:b/>
          <w:sz w:val="22"/>
          <w:szCs w:val="22"/>
          <w:lang w:val="es-CR"/>
        </w:rPr>
        <w:t>Viajes Ejecutivos Mundiales S.A.</w:t>
      </w:r>
    </w:p>
    <w:p w:rsidR="001A093C" w:rsidRPr="001A093C" w:rsidRDefault="001A093C" w:rsidP="001A093C">
      <w:pPr>
        <w:numPr>
          <w:ilvl w:val="0"/>
          <w:numId w:val="18"/>
        </w:numPr>
        <w:tabs>
          <w:tab w:val="left" w:pos="426"/>
        </w:tabs>
        <w:ind w:left="993"/>
        <w:rPr>
          <w:rFonts w:ascii="Arial" w:hAnsi="Arial" w:cs="Arial"/>
          <w:b/>
          <w:sz w:val="22"/>
          <w:szCs w:val="22"/>
          <w:lang w:val="es-CR"/>
        </w:rPr>
      </w:pPr>
      <w:r w:rsidRPr="001A093C">
        <w:rPr>
          <w:rFonts w:ascii="Arial" w:hAnsi="Arial" w:cs="Arial"/>
          <w:b/>
          <w:sz w:val="22"/>
          <w:szCs w:val="22"/>
          <w:lang w:val="es-CR"/>
        </w:rPr>
        <w:t>Caravana Internacional S.A.</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Análisis de las Ofertas</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En el Cuadro Nº 1 Resumen, Condiciones y Aspectos Legales se muestran las condiciones ofrecidas por parte de las empresas elegibles.</w:t>
      </w:r>
    </w:p>
    <w:p w:rsidR="001A093C" w:rsidRPr="001A093C" w:rsidRDefault="001A093C" w:rsidP="001A093C">
      <w:pPr>
        <w:ind w:left="567"/>
        <w:jc w:val="both"/>
        <w:rPr>
          <w:rFonts w:ascii="Arial" w:hAnsi="Arial" w:cs="Arial"/>
          <w:bCs/>
          <w:i/>
          <w:sz w:val="22"/>
          <w:szCs w:val="22"/>
        </w:rPr>
      </w:pPr>
    </w:p>
    <w:p w:rsidR="001A093C" w:rsidRPr="001A093C" w:rsidRDefault="001A093C" w:rsidP="001A093C">
      <w:pPr>
        <w:keepNext/>
        <w:jc w:val="center"/>
        <w:outlineLvl w:val="2"/>
        <w:rPr>
          <w:rFonts w:ascii="Arial" w:hAnsi="Arial" w:cs="Arial"/>
          <w:b/>
          <w:bCs/>
          <w:sz w:val="22"/>
        </w:rPr>
      </w:pPr>
      <w:r w:rsidRPr="001A093C">
        <w:rPr>
          <w:rFonts w:ascii="Arial" w:hAnsi="Arial" w:cs="Arial"/>
          <w:b/>
          <w:bCs/>
          <w:sz w:val="22"/>
        </w:rPr>
        <w:t>Cuadro Nº 1</w:t>
      </w:r>
    </w:p>
    <w:p w:rsidR="001A093C" w:rsidRPr="001A093C" w:rsidRDefault="001A093C" w:rsidP="001A093C">
      <w:pPr>
        <w:keepNext/>
        <w:jc w:val="center"/>
        <w:outlineLvl w:val="2"/>
        <w:rPr>
          <w:rFonts w:ascii="Arial" w:hAnsi="Arial" w:cs="Arial"/>
          <w:b/>
          <w:bCs/>
          <w:sz w:val="22"/>
        </w:rPr>
      </w:pPr>
      <w:r w:rsidRPr="001A093C">
        <w:rPr>
          <w:rFonts w:ascii="Arial" w:hAnsi="Arial" w:cs="Arial"/>
          <w:b/>
          <w:bCs/>
          <w:sz w:val="22"/>
        </w:rPr>
        <w:t>Resumen, Condiciones y Aspectos Legales</w:t>
      </w:r>
    </w:p>
    <w:p w:rsidR="001A093C" w:rsidRPr="001A093C" w:rsidRDefault="001A093C" w:rsidP="001A093C">
      <w:pPr>
        <w:jc w:val="center"/>
        <w:rPr>
          <w:rFonts w:ascii="Arial" w:hAnsi="Arial" w:cs="Arial"/>
          <w:b/>
          <w:sz w:val="18"/>
          <w:szCs w:val="18"/>
        </w:rPr>
      </w:pPr>
    </w:p>
    <w:tbl>
      <w:tblPr>
        <w:tblW w:w="9194" w:type="dxa"/>
        <w:jc w:val="right"/>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4942"/>
        <w:gridCol w:w="2126"/>
        <w:gridCol w:w="2126"/>
      </w:tblGrid>
      <w:tr w:rsidR="001A093C" w:rsidRPr="001A093C" w:rsidTr="001D01D9">
        <w:trPr>
          <w:trHeight w:val="454"/>
          <w:jc w:val="right"/>
        </w:trPr>
        <w:tc>
          <w:tcPr>
            <w:tcW w:w="4942" w:type="dxa"/>
            <w:vAlign w:val="center"/>
          </w:tcPr>
          <w:p w:rsidR="001A093C" w:rsidRPr="001A093C" w:rsidRDefault="001A093C" w:rsidP="001A093C">
            <w:pPr>
              <w:jc w:val="center"/>
              <w:rPr>
                <w:rFonts w:ascii="Arial" w:hAnsi="Arial" w:cs="Arial"/>
                <w:b/>
                <w:bCs/>
                <w:color w:val="000000"/>
                <w:sz w:val="22"/>
                <w:szCs w:val="22"/>
                <w:lang w:val="es-CR" w:eastAsia="es-CR"/>
              </w:rPr>
            </w:pPr>
            <w:r w:rsidRPr="001A093C">
              <w:rPr>
                <w:rFonts w:ascii="Arial" w:hAnsi="Arial" w:cs="Arial"/>
                <w:b/>
                <w:bCs/>
                <w:color w:val="000000"/>
                <w:sz w:val="22"/>
                <w:szCs w:val="22"/>
              </w:rPr>
              <w:t>Detalle/Oferente</w:t>
            </w:r>
          </w:p>
        </w:tc>
        <w:tc>
          <w:tcPr>
            <w:tcW w:w="2126" w:type="dxa"/>
            <w:shd w:val="clear" w:color="auto" w:fill="auto"/>
            <w:vAlign w:val="center"/>
          </w:tcPr>
          <w:p w:rsidR="001A093C" w:rsidRPr="001A093C" w:rsidRDefault="001A093C" w:rsidP="001A093C">
            <w:pPr>
              <w:jc w:val="center"/>
              <w:rPr>
                <w:rFonts w:ascii="Arial" w:hAnsi="Arial" w:cs="Arial"/>
                <w:b/>
                <w:bCs/>
                <w:color w:val="000000"/>
                <w:sz w:val="22"/>
                <w:szCs w:val="22"/>
              </w:rPr>
            </w:pPr>
            <w:r w:rsidRPr="001A093C">
              <w:rPr>
                <w:rFonts w:ascii="Arial" w:hAnsi="Arial" w:cs="Arial"/>
                <w:b/>
                <w:bCs/>
                <w:color w:val="000000"/>
                <w:sz w:val="22"/>
                <w:szCs w:val="22"/>
              </w:rPr>
              <w:t>Viajes Ejecutivos Mundiales S.A.</w:t>
            </w:r>
          </w:p>
        </w:tc>
        <w:tc>
          <w:tcPr>
            <w:tcW w:w="2126" w:type="dxa"/>
            <w:vAlign w:val="center"/>
          </w:tcPr>
          <w:p w:rsidR="001A093C" w:rsidRPr="001A093C" w:rsidRDefault="001A093C" w:rsidP="001A093C">
            <w:pPr>
              <w:jc w:val="center"/>
              <w:rPr>
                <w:rFonts w:ascii="Arial" w:hAnsi="Arial" w:cs="Arial"/>
                <w:b/>
                <w:bCs/>
                <w:color w:val="000000"/>
                <w:sz w:val="22"/>
                <w:szCs w:val="22"/>
              </w:rPr>
            </w:pPr>
            <w:r w:rsidRPr="001A093C">
              <w:rPr>
                <w:rFonts w:ascii="Arial" w:hAnsi="Arial" w:cs="Arial"/>
                <w:b/>
                <w:bCs/>
                <w:color w:val="000000"/>
                <w:sz w:val="22"/>
                <w:szCs w:val="22"/>
              </w:rPr>
              <w:t>Caravana Internacional S.A.</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rPr>
                <w:rFonts w:ascii="Arial" w:hAnsi="Arial" w:cs="Arial"/>
                <w:color w:val="000000"/>
                <w:sz w:val="22"/>
                <w:szCs w:val="22"/>
              </w:rPr>
            </w:pPr>
            <w:r w:rsidRPr="001A093C">
              <w:rPr>
                <w:rFonts w:ascii="Arial" w:hAnsi="Arial" w:cs="Arial"/>
                <w:color w:val="000000"/>
                <w:sz w:val="22"/>
                <w:szCs w:val="22"/>
              </w:rPr>
              <w:t xml:space="preserve">Cédula Jurídica </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3101130983</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3101063669</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rPr>
                <w:rFonts w:ascii="Arial" w:hAnsi="Arial" w:cs="Arial"/>
                <w:color w:val="000000"/>
                <w:sz w:val="22"/>
                <w:szCs w:val="22"/>
              </w:rPr>
            </w:pPr>
            <w:r w:rsidRPr="001A093C">
              <w:rPr>
                <w:rFonts w:ascii="Arial" w:hAnsi="Arial" w:cs="Arial"/>
                <w:color w:val="000000"/>
                <w:sz w:val="22"/>
                <w:szCs w:val="22"/>
              </w:rPr>
              <w:t>Vigencia de la oferta en días hábiles</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90</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100</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Declaración jurada de estar al día en el pago de impuestos nacionales</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Declaración jurada que no lo afecta los artículos 22 y 22 bis de la Ley de Contratación Administrativa</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Declaración jurada que no lo afecta el artículo 100  del Reglamento de la Ley Contratación Administrativa</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Certificación de la Caja Costarricense de Seguro Social</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 xml:space="preserve">Certificación del Fondo de Asignaciones Familiares </w:t>
            </w:r>
            <w:proofErr w:type="spellStart"/>
            <w:r w:rsidRPr="001A093C">
              <w:rPr>
                <w:rFonts w:ascii="Arial" w:hAnsi="Arial" w:cs="Arial"/>
                <w:color w:val="000000"/>
                <w:sz w:val="22"/>
                <w:szCs w:val="22"/>
              </w:rPr>
              <w:t>Fodesaf</w:t>
            </w:r>
            <w:proofErr w:type="spellEnd"/>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r w:rsidR="001A093C" w:rsidRPr="001A093C" w:rsidTr="001D01D9">
        <w:trPr>
          <w:trHeight w:val="454"/>
          <w:jc w:val="right"/>
        </w:trPr>
        <w:tc>
          <w:tcPr>
            <w:tcW w:w="4942" w:type="dxa"/>
            <w:shd w:val="clear" w:color="auto" w:fill="auto"/>
            <w:vAlign w:val="center"/>
          </w:tcPr>
          <w:p w:rsidR="001A093C" w:rsidRPr="001A093C" w:rsidRDefault="001A093C" w:rsidP="001A093C">
            <w:pPr>
              <w:jc w:val="both"/>
              <w:rPr>
                <w:rFonts w:ascii="Arial" w:hAnsi="Arial" w:cs="Arial"/>
                <w:color w:val="000000"/>
                <w:sz w:val="22"/>
                <w:szCs w:val="22"/>
              </w:rPr>
            </w:pPr>
            <w:r w:rsidRPr="001A093C">
              <w:rPr>
                <w:rFonts w:ascii="Arial" w:hAnsi="Arial" w:cs="Arial"/>
                <w:color w:val="000000"/>
                <w:sz w:val="22"/>
                <w:szCs w:val="22"/>
              </w:rPr>
              <w:t>Timbre</w:t>
            </w:r>
          </w:p>
        </w:tc>
        <w:tc>
          <w:tcPr>
            <w:tcW w:w="2126"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c>
          <w:tcPr>
            <w:tcW w:w="2126" w:type="dxa"/>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SI</w:t>
            </w:r>
          </w:p>
        </w:tc>
      </w:tr>
    </w:tbl>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Análisis del aspecto legal</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 xml:space="preserve">Las ofertas de las empresas Viajes Ejecutivos Mundiales S.A. y Caravana Internacional S.A. cumplen con los requerimientos legales indicados en el cartel. </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lastRenderedPageBreak/>
        <w:t>Parámetros para la valoración</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Los parámetros básicos por considerar y su valor en términos porcentuales de adjudicación son los siguientes:</w:t>
      </w:r>
    </w:p>
    <w:p w:rsidR="001A093C" w:rsidRPr="001A093C" w:rsidRDefault="001A093C" w:rsidP="001A093C">
      <w:pPr>
        <w:tabs>
          <w:tab w:val="left" w:pos="426"/>
        </w:tabs>
        <w:ind w:left="420" w:hanging="420"/>
        <w:jc w:val="both"/>
        <w:rPr>
          <w:rFonts w:ascii="Arial" w:hAnsi="Arial" w:cs="Arial"/>
          <w:b/>
          <w:sz w:val="22"/>
          <w:szCs w:val="22"/>
        </w:rPr>
      </w:pPr>
    </w:p>
    <w:p w:rsidR="001A093C" w:rsidRPr="001A093C" w:rsidRDefault="001A093C" w:rsidP="001A093C">
      <w:pPr>
        <w:tabs>
          <w:tab w:val="left" w:pos="426"/>
        </w:tabs>
        <w:ind w:left="420" w:hanging="420"/>
        <w:jc w:val="center"/>
        <w:rPr>
          <w:rFonts w:ascii="Arial" w:hAnsi="Arial" w:cs="Arial"/>
          <w:b/>
          <w:sz w:val="22"/>
          <w:szCs w:val="22"/>
        </w:rPr>
      </w:pPr>
      <w:r w:rsidRPr="001A093C">
        <w:rPr>
          <w:rFonts w:ascii="Arial" w:hAnsi="Arial" w:cs="Arial"/>
          <w:b/>
          <w:sz w:val="22"/>
          <w:szCs w:val="22"/>
        </w:rPr>
        <w:t>Evaluación</w:t>
      </w:r>
    </w:p>
    <w:p w:rsidR="001A093C" w:rsidRPr="001A093C" w:rsidRDefault="001A093C" w:rsidP="001A093C">
      <w:pPr>
        <w:tabs>
          <w:tab w:val="left" w:pos="426"/>
        </w:tabs>
        <w:ind w:left="420" w:hanging="420"/>
        <w:jc w:val="both"/>
        <w:rPr>
          <w:rFonts w:ascii="Arial" w:hAnsi="Arial" w:cs="Arial"/>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036"/>
        <w:gridCol w:w="1554"/>
      </w:tblGrid>
      <w:tr w:rsidR="001A093C" w:rsidRPr="001A093C" w:rsidTr="001D01D9">
        <w:trPr>
          <w:jc w:val="center"/>
        </w:trPr>
        <w:tc>
          <w:tcPr>
            <w:tcW w:w="4036" w:type="dxa"/>
            <w:tcBorders>
              <w:top w:val="single" w:sz="4" w:space="0" w:color="000000"/>
              <w:left w:val="single" w:sz="4" w:space="0" w:color="000000"/>
              <w:bottom w:val="single" w:sz="4" w:space="0" w:color="000000"/>
            </w:tcBorders>
            <w:shd w:val="pct20" w:color="auto" w:fill="auto"/>
          </w:tcPr>
          <w:p w:rsidR="001A093C" w:rsidRPr="001A093C" w:rsidRDefault="001A093C" w:rsidP="001A093C">
            <w:pPr>
              <w:snapToGrid w:val="0"/>
              <w:jc w:val="both"/>
              <w:rPr>
                <w:rFonts w:ascii="Arial" w:hAnsi="Arial" w:cs="Arial"/>
                <w:b/>
                <w:bCs/>
                <w:sz w:val="22"/>
                <w:szCs w:val="22"/>
              </w:rPr>
            </w:pPr>
            <w:r w:rsidRPr="001A093C">
              <w:rPr>
                <w:rFonts w:ascii="Arial" w:hAnsi="Arial" w:cs="Arial"/>
                <w:b/>
                <w:bCs/>
                <w:sz w:val="22"/>
                <w:szCs w:val="22"/>
              </w:rPr>
              <w:t>Factor</w:t>
            </w:r>
          </w:p>
        </w:tc>
        <w:tc>
          <w:tcPr>
            <w:tcW w:w="1554" w:type="dxa"/>
            <w:tcBorders>
              <w:top w:val="single" w:sz="4" w:space="0" w:color="000000"/>
              <w:left w:val="single" w:sz="4" w:space="0" w:color="000000"/>
              <w:bottom w:val="single" w:sz="4" w:space="0" w:color="000000"/>
              <w:right w:val="single" w:sz="4" w:space="0" w:color="000000"/>
            </w:tcBorders>
            <w:shd w:val="pct20" w:color="auto" w:fill="auto"/>
          </w:tcPr>
          <w:p w:rsidR="001A093C" w:rsidRPr="001A093C" w:rsidRDefault="001A093C" w:rsidP="001A093C">
            <w:pPr>
              <w:snapToGrid w:val="0"/>
              <w:jc w:val="both"/>
              <w:rPr>
                <w:rFonts w:ascii="Arial" w:hAnsi="Arial" w:cs="Arial"/>
                <w:b/>
                <w:bCs/>
                <w:sz w:val="22"/>
                <w:szCs w:val="22"/>
              </w:rPr>
            </w:pPr>
            <w:r w:rsidRPr="001A093C">
              <w:rPr>
                <w:rFonts w:ascii="Arial" w:hAnsi="Arial" w:cs="Arial"/>
                <w:b/>
                <w:bCs/>
                <w:sz w:val="22"/>
                <w:szCs w:val="22"/>
              </w:rPr>
              <w:t>Porcentaje</w:t>
            </w:r>
          </w:p>
        </w:tc>
      </w:tr>
      <w:tr w:rsidR="001A093C" w:rsidRPr="001A093C" w:rsidTr="001D01D9">
        <w:trPr>
          <w:jc w:val="center"/>
        </w:trPr>
        <w:tc>
          <w:tcPr>
            <w:tcW w:w="4036" w:type="dxa"/>
            <w:tcBorders>
              <w:top w:val="single" w:sz="4" w:space="0" w:color="000000"/>
              <w:left w:val="single" w:sz="4" w:space="0" w:color="000000"/>
              <w:bottom w:val="single" w:sz="4" w:space="0" w:color="000000"/>
            </w:tcBorders>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Cargo fijo Comisión</w:t>
            </w:r>
          </w:p>
        </w:tc>
        <w:tc>
          <w:tcPr>
            <w:tcW w:w="1554" w:type="dxa"/>
            <w:tcBorders>
              <w:top w:val="single" w:sz="4" w:space="0" w:color="000000"/>
              <w:left w:val="single" w:sz="4" w:space="0" w:color="000000"/>
              <w:bottom w:val="single" w:sz="4" w:space="0" w:color="000000"/>
              <w:right w:val="single" w:sz="4" w:space="0" w:color="000000"/>
            </w:tcBorders>
            <w:vAlign w:val="center"/>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75%</w:t>
            </w:r>
          </w:p>
        </w:tc>
      </w:tr>
      <w:tr w:rsidR="001A093C" w:rsidRPr="001A093C" w:rsidTr="001D01D9">
        <w:trPr>
          <w:jc w:val="center"/>
        </w:trPr>
        <w:tc>
          <w:tcPr>
            <w:tcW w:w="4036" w:type="dxa"/>
            <w:tcBorders>
              <w:top w:val="single" w:sz="4" w:space="0" w:color="000000"/>
              <w:left w:val="single" w:sz="4" w:space="0" w:color="000000"/>
              <w:bottom w:val="single" w:sz="4" w:space="0" w:color="000000"/>
            </w:tcBorders>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Experiencia</w:t>
            </w:r>
          </w:p>
        </w:tc>
        <w:tc>
          <w:tcPr>
            <w:tcW w:w="1554" w:type="dxa"/>
            <w:tcBorders>
              <w:top w:val="single" w:sz="4" w:space="0" w:color="000000"/>
              <w:left w:val="single" w:sz="4" w:space="0" w:color="000000"/>
              <w:bottom w:val="single" w:sz="4" w:space="0" w:color="000000"/>
              <w:right w:val="single" w:sz="4" w:space="0" w:color="000000"/>
            </w:tcBorders>
            <w:vAlign w:val="center"/>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25%</w:t>
            </w:r>
          </w:p>
        </w:tc>
      </w:tr>
      <w:tr w:rsidR="001A093C" w:rsidRPr="001A093C" w:rsidTr="001D01D9">
        <w:trPr>
          <w:jc w:val="center"/>
        </w:trPr>
        <w:tc>
          <w:tcPr>
            <w:tcW w:w="4036" w:type="dxa"/>
            <w:tcBorders>
              <w:top w:val="single" w:sz="4" w:space="0" w:color="000000"/>
              <w:left w:val="single" w:sz="4" w:space="0" w:color="000000"/>
              <w:bottom w:val="single" w:sz="4" w:space="0" w:color="000000"/>
            </w:tcBorders>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 xml:space="preserve">Total </w:t>
            </w:r>
          </w:p>
        </w:tc>
        <w:tc>
          <w:tcPr>
            <w:tcW w:w="1554" w:type="dxa"/>
            <w:tcBorders>
              <w:top w:val="single" w:sz="4" w:space="0" w:color="000000"/>
              <w:left w:val="single" w:sz="4" w:space="0" w:color="000000"/>
              <w:bottom w:val="single" w:sz="4" w:space="0" w:color="000000"/>
              <w:right w:val="single" w:sz="4" w:space="0" w:color="000000"/>
            </w:tcBorders>
            <w:vAlign w:val="center"/>
          </w:tcPr>
          <w:p w:rsidR="001A093C" w:rsidRPr="001A093C" w:rsidRDefault="001A093C" w:rsidP="001A093C">
            <w:pPr>
              <w:snapToGrid w:val="0"/>
              <w:jc w:val="both"/>
              <w:rPr>
                <w:rFonts w:ascii="Arial" w:hAnsi="Arial" w:cs="Arial"/>
                <w:sz w:val="22"/>
                <w:szCs w:val="22"/>
              </w:rPr>
            </w:pPr>
            <w:r w:rsidRPr="001A093C">
              <w:rPr>
                <w:rFonts w:ascii="Arial" w:hAnsi="Arial" w:cs="Arial"/>
                <w:sz w:val="22"/>
                <w:szCs w:val="22"/>
              </w:rPr>
              <w:t>100%</w:t>
            </w:r>
          </w:p>
        </w:tc>
      </w:tr>
    </w:tbl>
    <w:p w:rsidR="001A093C" w:rsidRPr="001A093C" w:rsidRDefault="001A093C" w:rsidP="001A093C">
      <w:pPr>
        <w:jc w:val="both"/>
        <w:rPr>
          <w:rFonts w:ascii="Arial" w:hAnsi="Arial" w:cs="Arial"/>
          <w:sz w:val="22"/>
          <w:szCs w:val="22"/>
        </w:rPr>
      </w:pP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Descripción de los factores y forma de evaluación:</w:t>
      </w:r>
    </w:p>
    <w:p w:rsidR="001A093C" w:rsidRPr="001A093C" w:rsidRDefault="001A093C" w:rsidP="001A093C">
      <w:pPr>
        <w:autoSpaceDE w:val="0"/>
        <w:autoSpaceDN w:val="0"/>
        <w:adjustRightInd w:val="0"/>
        <w:jc w:val="both"/>
        <w:rPr>
          <w:rFonts w:ascii="Arial" w:hAnsi="Arial" w:cs="Arial"/>
          <w:sz w:val="22"/>
          <w:szCs w:val="22"/>
        </w:rPr>
      </w:pPr>
    </w:p>
    <w:p w:rsidR="001A093C" w:rsidRPr="001A093C" w:rsidRDefault="001A093C" w:rsidP="001A093C">
      <w:pPr>
        <w:tabs>
          <w:tab w:val="left" w:pos="426"/>
        </w:tabs>
        <w:jc w:val="center"/>
        <w:rPr>
          <w:rFonts w:ascii="Arial" w:hAnsi="Arial" w:cs="Arial"/>
          <w:b/>
          <w:sz w:val="22"/>
        </w:rPr>
      </w:pPr>
      <w:bookmarkStart w:id="1" w:name="_Toc191104735"/>
      <w:r w:rsidRPr="001A093C">
        <w:rPr>
          <w:rFonts w:ascii="Arial" w:hAnsi="Arial" w:cs="Arial"/>
          <w:b/>
          <w:sz w:val="22"/>
        </w:rPr>
        <w:t>Cuadro # 1</w:t>
      </w:r>
      <w:bookmarkEnd w:id="1"/>
    </w:p>
    <w:p w:rsidR="001A093C" w:rsidRPr="001A093C" w:rsidRDefault="001A093C" w:rsidP="001A093C">
      <w:pPr>
        <w:tabs>
          <w:tab w:val="left" w:pos="426"/>
        </w:tabs>
        <w:jc w:val="center"/>
        <w:rPr>
          <w:rFonts w:ascii="Arial" w:hAnsi="Arial" w:cs="Arial"/>
          <w:b/>
          <w:sz w:val="22"/>
        </w:rPr>
      </w:pPr>
      <w:r w:rsidRPr="001A093C">
        <w:rPr>
          <w:rFonts w:ascii="Arial" w:hAnsi="Arial" w:cs="Arial"/>
          <w:b/>
          <w:sz w:val="22"/>
        </w:rPr>
        <w:t>Cargo fijo por comisión</w:t>
      </w:r>
    </w:p>
    <w:p w:rsidR="001A093C" w:rsidRPr="001A093C" w:rsidRDefault="001A093C" w:rsidP="001A093C">
      <w:pPr>
        <w:tabs>
          <w:tab w:val="left" w:pos="426"/>
        </w:tabs>
        <w:jc w:val="center"/>
        <w:rPr>
          <w:rFonts w:ascii="Arial" w:hAnsi="Arial" w:cs="Arial"/>
          <w:b/>
          <w:sz w:val="22"/>
        </w:rPr>
      </w:pPr>
      <w:r w:rsidRPr="001A093C">
        <w:rPr>
          <w:rFonts w:ascii="Arial" w:hAnsi="Arial" w:cs="Arial"/>
          <w:b/>
          <w:sz w:val="22"/>
        </w:rPr>
        <w:t>(Puntaje 75%)</w:t>
      </w:r>
    </w:p>
    <w:tbl>
      <w:tblPr>
        <w:tblW w:w="94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30"/>
        <w:gridCol w:w="1423"/>
        <w:gridCol w:w="6"/>
        <w:gridCol w:w="5722"/>
      </w:tblGrid>
      <w:tr w:rsidR="001A093C" w:rsidRPr="001A093C" w:rsidTr="001D01D9">
        <w:trPr>
          <w:cantSplit/>
          <w:trHeight w:val="374"/>
          <w:tblHeader/>
          <w:jc w:val="center"/>
        </w:trPr>
        <w:tc>
          <w:tcPr>
            <w:tcW w:w="2330" w:type="dxa"/>
            <w:tcBorders>
              <w:bottom w:val="single" w:sz="6" w:space="0" w:color="000000"/>
            </w:tcBorders>
            <w:shd w:val="clear" w:color="auto" w:fill="CCCCCC"/>
          </w:tcPr>
          <w:p w:rsidR="001A093C" w:rsidRPr="001A093C" w:rsidRDefault="001A093C" w:rsidP="001A093C">
            <w:pPr>
              <w:jc w:val="both"/>
              <w:rPr>
                <w:rFonts w:ascii="Arial" w:hAnsi="Arial" w:cs="Arial"/>
                <w:b/>
              </w:rPr>
            </w:pPr>
            <w:bookmarkStart w:id="2" w:name="_Toc520005999"/>
            <w:bookmarkStart w:id="3" w:name="_Toc536245434"/>
            <w:bookmarkStart w:id="4" w:name="_Toc39285917"/>
            <w:bookmarkStart w:id="5" w:name="_Toc43516299"/>
            <w:bookmarkStart w:id="6" w:name="_Toc189379713"/>
            <w:bookmarkStart w:id="7" w:name="_Toc189383719"/>
            <w:bookmarkStart w:id="8" w:name="_Toc189384334"/>
            <w:bookmarkStart w:id="9" w:name="_Toc189384430"/>
            <w:bookmarkStart w:id="10" w:name="_Toc189970649"/>
            <w:bookmarkStart w:id="11" w:name="_Toc189973323"/>
            <w:bookmarkStart w:id="12" w:name="_Toc189973437"/>
            <w:bookmarkStart w:id="13" w:name="_Toc190683724"/>
            <w:r w:rsidRPr="001A093C">
              <w:rPr>
                <w:rFonts w:ascii="Arial" w:hAnsi="Arial" w:cs="Arial"/>
                <w:b/>
              </w:rPr>
              <w:t>Factor de Evaluación</w:t>
            </w:r>
          </w:p>
        </w:tc>
        <w:tc>
          <w:tcPr>
            <w:tcW w:w="1423" w:type="dxa"/>
            <w:tcBorders>
              <w:bottom w:val="single" w:sz="6" w:space="0" w:color="000000"/>
            </w:tcBorders>
            <w:shd w:val="clear" w:color="auto" w:fill="CCCCCC"/>
          </w:tcPr>
          <w:p w:rsidR="001A093C" w:rsidRPr="001A093C" w:rsidRDefault="001A093C" w:rsidP="001A093C">
            <w:pPr>
              <w:jc w:val="both"/>
              <w:rPr>
                <w:rFonts w:ascii="Arial" w:hAnsi="Arial" w:cs="Arial"/>
                <w:b/>
              </w:rPr>
            </w:pPr>
            <w:r w:rsidRPr="001A093C">
              <w:rPr>
                <w:rFonts w:ascii="Arial" w:hAnsi="Arial" w:cs="Arial"/>
                <w:b/>
              </w:rPr>
              <w:t>Porcentaje</w:t>
            </w:r>
          </w:p>
        </w:tc>
        <w:tc>
          <w:tcPr>
            <w:tcW w:w="5728" w:type="dxa"/>
            <w:gridSpan w:val="2"/>
            <w:tcBorders>
              <w:bottom w:val="single" w:sz="6" w:space="0" w:color="000000"/>
            </w:tcBorders>
            <w:shd w:val="clear" w:color="auto" w:fill="CCCCCC"/>
          </w:tcPr>
          <w:p w:rsidR="001A093C" w:rsidRPr="001A093C" w:rsidRDefault="001A093C" w:rsidP="001A093C">
            <w:pPr>
              <w:jc w:val="both"/>
              <w:rPr>
                <w:rFonts w:ascii="Arial" w:hAnsi="Arial" w:cs="Arial"/>
                <w:b/>
              </w:rPr>
            </w:pPr>
            <w:r w:rsidRPr="001A093C">
              <w:rPr>
                <w:rFonts w:ascii="Arial" w:hAnsi="Arial" w:cs="Arial"/>
                <w:b/>
              </w:rPr>
              <w:t>Forma de Calificación</w:t>
            </w:r>
          </w:p>
        </w:tc>
      </w:tr>
      <w:tr w:rsidR="001A093C" w:rsidRPr="001A093C" w:rsidTr="001D01D9">
        <w:trPr>
          <w:cantSplit/>
          <w:trHeight w:val="1926"/>
          <w:jc w:val="center"/>
        </w:trPr>
        <w:tc>
          <w:tcPr>
            <w:tcW w:w="2330" w:type="dxa"/>
            <w:vAlign w:val="center"/>
          </w:tcPr>
          <w:p w:rsidR="001A093C" w:rsidRPr="001A093C" w:rsidRDefault="001A093C" w:rsidP="001A093C">
            <w:pPr>
              <w:jc w:val="both"/>
              <w:rPr>
                <w:rFonts w:ascii="Arial" w:hAnsi="Arial" w:cs="Arial"/>
                <w:b/>
              </w:rPr>
            </w:pPr>
            <w:r w:rsidRPr="001A093C">
              <w:rPr>
                <w:rFonts w:ascii="Arial" w:hAnsi="Arial" w:cs="Arial"/>
                <w:b/>
              </w:rPr>
              <w:t>Comisión</w:t>
            </w:r>
          </w:p>
        </w:tc>
        <w:tc>
          <w:tcPr>
            <w:tcW w:w="1429" w:type="dxa"/>
            <w:gridSpan w:val="2"/>
            <w:vAlign w:val="center"/>
          </w:tcPr>
          <w:p w:rsidR="001A093C" w:rsidRPr="001A093C" w:rsidRDefault="001A093C" w:rsidP="001A093C">
            <w:pPr>
              <w:tabs>
                <w:tab w:val="center" w:pos="4252"/>
                <w:tab w:val="right" w:pos="8504"/>
              </w:tabs>
              <w:jc w:val="both"/>
              <w:rPr>
                <w:rFonts w:ascii="Arial" w:hAnsi="Arial" w:cs="Arial"/>
                <w:b/>
              </w:rPr>
            </w:pPr>
            <w:r w:rsidRPr="001A093C">
              <w:rPr>
                <w:rFonts w:ascii="Arial" w:hAnsi="Arial" w:cs="Arial"/>
                <w:b/>
              </w:rPr>
              <w:t>75%</w:t>
            </w:r>
          </w:p>
        </w:tc>
        <w:tc>
          <w:tcPr>
            <w:tcW w:w="5722" w:type="dxa"/>
          </w:tcPr>
          <w:p w:rsidR="001A093C" w:rsidRPr="001A093C" w:rsidRDefault="001A093C" w:rsidP="001A093C">
            <w:pPr>
              <w:widowControl w:val="0"/>
              <w:jc w:val="both"/>
              <w:rPr>
                <w:rFonts w:ascii="Arial" w:hAnsi="Arial" w:cs="Arial"/>
                <w:sz w:val="18"/>
                <w:szCs w:val="18"/>
                <w:lang w:val="es-ES_tradnl"/>
              </w:rPr>
            </w:pPr>
            <w:r w:rsidRPr="001A093C">
              <w:rPr>
                <w:rFonts w:ascii="Arial" w:hAnsi="Arial" w:cs="Arial"/>
                <w:sz w:val="18"/>
                <w:szCs w:val="18"/>
              </w:rPr>
              <w:t>Se asignará el mayor puntaje a la oferta cuya Comisión sea menor. Al resto se les calculará el puntaje en forma inversamente proporcional de acuerdo con la siguiente fórmula:</w:t>
            </w:r>
          </w:p>
          <w:p w:rsidR="001A093C" w:rsidRPr="001A093C" w:rsidRDefault="001A093C" w:rsidP="001A093C">
            <w:pPr>
              <w:ind w:left="1140"/>
              <w:jc w:val="both"/>
              <w:rPr>
                <w:rFonts w:ascii="Arial" w:hAnsi="Arial" w:cs="Arial"/>
                <w:sz w:val="18"/>
                <w:szCs w:val="18"/>
              </w:rPr>
            </w:pPr>
            <w:r w:rsidRPr="001A093C">
              <w:rPr>
                <w:noProof/>
                <w:lang w:val="es-CR" w:eastAsia="es-CR"/>
              </w:rPr>
              <mc:AlternateContent>
                <mc:Choice Requires="wps">
                  <w:drawing>
                    <wp:anchor distT="0" distB="0" distL="114300" distR="114300" simplePos="0" relativeHeight="251659264" behindDoc="0" locked="0" layoutInCell="1" allowOverlap="1" wp14:anchorId="468AA3D1" wp14:editId="4FBB59EC">
                      <wp:simplePos x="0" y="0"/>
                      <wp:positionH relativeFrom="column">
                        <wp:posOffset>1207770</wp:posOffset>
                      </wp:positionH>
                      <wp:positionV relativeFrom="paragraph">
                        <wp:posOffset>98425</wp:posOffset>
                      </wp:positionV>
                      <wp:extent cx="1976755" cy="529590"/>
                      <wp:effectExtent l="0" t="0" r="23495" b="22860"/>
                      <wp:wrapNone/>
                      <wp:docPr id="5" name="Corchet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17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5" o:spid="_x0000_s1026" type="#_x0000_t185" style="position:absolute;margin-left:95.1pt;margin-top:7.75pt;width:155.6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"/>
                  </w:pict>
                </mc:Fallback>
              </mc:AlternateContent>
            </w:r>
          </w:p>
          <w:p w:rsidR="001A093C" w:rsidRPr="001A093C" w:rsidRDefault="001A093C" w:rsidP="001A093C">
            <w:pPr>
              <w:ind w:left="195"/>
              <w:jc w:val="both"/>
              <w:rPr>
                <w:rFonts w:ascii="Arial" w:hAnsi="Arial" w:cs="Arial"/>
                <w:sz w:val="18"/>
                <w:szCs w:val="18"/>
              </w:rPr>
            </w:pPr>
            <w:r w:rsidRPr="001A093C">
              <w:rPr>
                <w:rFonts w:ascii="Arial" w:hAnsi="Arial" w:cs="Arial"/>
                <w:sz w:val="18"/>
                <w:szCs w:val="18"/>
              </w:rPr>
              <w:t xml:space="preserve">    </w:t>
            </w:r>
          </w:p>
          <w:p w:rsidR="001A093C" w:rsidRPr="001A093C" w:rsidRDefault="001A093C" w:rsidP="001A093C">
            <w:pPr>
              <w:ind w:left="195"/>
              <w:jc w:val="both"/>
              <w:rPr>
                <w:rFonts w:ascii="Arial" w:hAnsi="Arial" w:cs="Arial"/>
                <w:sz w:val="18"/>
                <w:szCs w:val="18"/>
              </w:rPr>
            </w:pPr>
            <w:r w:rsidRPr="001A093C">
              <w:rPr>
                <w:rFonts w:ascii="Arial" w:hAnsi="Arial" w:cs="Arial"/>
                <w:sz w:val="18"/>
                <w:szCs w:val="18"/>
              </w:rPr>
              <w:t xml:space="preserve">      Valor =    75% *      </w:t>
            </w:r>
            <w:r w:rsidRPr="001A093C">
              <w:rPr>
                <w:rFonts w:ascii="Arial" w:hAnsi="Arial" w:cs="Arial"/>
                <w:sz w:val="18"/>
                <w:szCs w:val="18"/>
                <w:u w:val="single"/>
              </w:rPr>
              <w:t>Comisión menor de todas las ofertas</w:t>
            </w:r>
          </w:p>
          <w:p w:rsidR="001A093C" w:rsidRPr="001A093C" w:rsidRDefault="001A093C" w:rsidP="001A093C">
            <w:pPr>
              <w:ind w:left="1140"/>
              <w:jc w:val="both"/>
              <w:rPr>
                <w:rFonts w:ascii="Arial" w:hAnsi="Arial" w:cs="Arial"/>
                <w:sz w:val="18"/>
                <w:szCs w:val="18"/>
              </w:rPr>
            </w:pPr>
            <w:r w:rsidRPr="001A093C">
              <w:rPr>
                <w:rFonts w:ascii="Arial" w:hAnsi="Arial" w:cs="Arial"/>
                <w:sz w:val="18"/>
                <w:szCs w:val="18"/>
              </w:rPr>
              <w:t xml:space="preserve">  </w:t>
            </w:r>
            <w:r w:rsidRPr="001A093C">
              <w:rPr>
                <w:rFonts w:ascii="Arial" w:hAnsi="Arial" w:cs="Arial"/>
                <w:sz w:val="18"/>
                <w:szCs w:val="18"/>
              </w:rPr>
              <w:tab/>
              <w:t xml:space="preserve">               Comisión de la oferta en estudio</w:t>
            </w:r>
          </w:p>
        </w:tc>
      </w:tr>
    </w:tbl>
    <w:p w:rsidR="001A093C" w:rsidRPr="001A093C" w:rsidRDefault="001A093C" w:rsidP="001A093C">
      <w:pPr>
        <w:jc w:val="both"/>
        <w:rPr>
          <w:rFonts w:ascii="Arial" w:eastAsia="MS Mincho" w:hAnsi="Arial" w:cs="Arial"/>
          <w:sz w:val="16"/>
          <w:szCs w:val="16"/>
        </w:rPr>
      </w:pPr>
    </w:p>
    <w:bookmarkEnd w:id="2"/>
    <w:bookmarkEnd w:id="3"/>
    <w:bookmarkEnd w:id="4"/>
    <w:bookmarkEnd w:id="5"/>
    <w:bookmarkEnd w:id="6"/>
    <w:bookmarkEnd w:id="7"/>
    <w:bookmarkEnd w:id="8"/>
    <w:bookmarkEnd w:id="9"/>
    <w:bookmarkEnd w:id="10"/>
    <w:bookmarkEnd w:id="11"/>
    <w:bookmarkEnd w:id="12"/>
    <w:bookmarkEnd w:id="13"/>
    <w:p w:rsidR="001A093C" w:rsidRPr="001A093C" w:rsidRDefault="001A093C" w:rsidP="001A093C">
      <w:pPr>
        <w:tabs>
          <w:tab w:val="left" w:pos="426"/>
        </w:tabs>
        <w:jc w:val="center"/>
        <w:rPr>
          <w:rFonts w:ascii="Arial" w:hAnsi="Arial" w:cs="Arial"/>
          <w:b/>
          <w:sz w:val="22"/>
        </w:rPr>
      </w:pPr>
      <w:r w:rsidRPr="001A093C">
        <w:rPr>
          <w:rFonts w:ascii="Arial" w:hAnsi="Arial" w:cs="Arial"/>
          <w:b/>
          <w:sz w:val="22"/>
        </w:rPr>
        <w:t>Cuadro # 2</w:t>
      </w:r>
    </w:p>
    <w:p w:rsidR="001A093C" w:rsidRPr="001A093C" w:rsidRDefault="001A093C" w:rsidP="001A093C">
      <w:pPr>
        <w:tabs>
          <w:tab w:val="left" w:pos="426"/>
        </w:tabs>
        <w:jc w:val="center"/>
        <w:rPr>
          <w:rFonts w:ascii="Arial" w:hAnsi="Arial" w:cs="Arial"/>
          <w:b/>
          <w:sz w:val="22"/>
        </w:rPr>
      </w:pPr>
      <w:r w:rsidRPr="001A093C">
        <w:rPr>
          <w:rFonts w:ascii="Arial" w:hAnsi="Arial" w:cs="Arial"/>
          <w:b/>
          <w:sz w:val="22"/>
        </w:rPr>
        <w:t>Experiencia con empresas</w:t>
      </w:r>
    </w:p>
    <w:p w:rsidR="001A093C" w:rsidRPr="001A093C" w:rsidRDefault="001A093C" w:rsidP="001A093C">
      <w:pPr>
        <w:tabs>
          <w:tab w:val="left" w:pos="426"/>
        </w:tabs>
        <w:jc w:val="center"/>
        <w:rPr>
          <w:rFonts w:ascii="Arial" w:hAnsi="Arial" w:cs="Arial"/>
          <w:b/>
          <w:sz w:val="22"/>
        </w:rPr>
      </w:pPr>
      <w:r w:rsidRPr="001A093C">
        <w:rPr>
          <w:rFonts w:ascii="Arial" w:hAnsi="Arial" w:cs="Arial"/>
          <w:b/>
          <w:sz w:val="22"/>
        </w:rPr>
        <w:t>(Puntaje 25%)</w:t>
      </w:r>
    </w:p>
    <w:p w:rsidR="001A093C" w:rsidRPr="001A093C" w:rsidRDefault="001A093C" w:rsidP="001A093C">
      <w:pPr>
        <w:tabs>
          <w:tab w:val="left" w:pos="426"/>
        </w:tabs>
        <w:jc w:val="center"/>
        <w:rPr>
          <w:rFonts w:ascii="Arial" w:hAnsi="Arial" w:cs="Arial"/>
          <w:b/>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32"/>
        <w:gridCol w:w="1373"/>
        <w:gridCol w:w="5755"/>
      </w:tblGrid>
      <w:tr w:rsidR="001A093C" w:rsidRPr="001A093C" w:rsidTr="001D01D9">
        <w:trPr>
          <w:cantSplit/>
          <w:trHeight w:val="290"/>
          <w:tblHeader/>
          <w:jc w:val="center"/>
        </w:trPr>
        <w:tc>
          <w:tcPr>
            <w:tcW w:w="2332" w:type="dxa"/>
            <w:shd w:val="clear" w:color="auto" w:fill="CCCCCC"/>
          </w:tcPr>
          <w:p w:rsidR="001A093C" w:rsidRPr="001A093C" w:rsidRDefault="001A093C" w:rsidP="001A093C">
            <w:pPr>
              <w:jc w:val="both"/>
              <w:rPr>
                <w:rFonts w:ascii="Arial" w:hAnsi="Arial" w:cs="Arial"/>
                <w:b/>
              </w:rPr>
            </w:pPr>
            <w:r w:rsidRPr="001A093C">
              <w:rPr>
                <w:rFonts w:ascii="Arial" w:hAnsi="Arial" w:cs="Arial"/>
                <w:b/>
              </w:rPr>
              <w:t>Factor de Evaluación</w:t>
            </w:r>
          </w:p>
        </w:tc>
        <w:tc>
          <w:tcPr>
            <w:tcW w:w="1373" w:type="dxa"/>
            <w:shd w:val="clear" w:color="auto" w:fill="CCCCCC"/>
          </w:tcPr>
          <w:p w:rsidR="001A093C" w:rsidRPr="001A093C" w:rsidRDefault="001A093C" w:rsidP="001A093C">
            <w:pPr>
              <w:jc w:val="both"/>
              <w:rPr>
                <w:rFonts w:ascii="Arial" w:hAnsi="Arial" w:cs="Arial"/>
                <w:b/>
              </w:rPr>
            </w:pPr>
            <w:r w:rsidRPr="001A093C">
              <w:rPr>
                <w:rFonts w:ascii="Arial" w:hAnsi="Arial" w:cs="Arial"/>
                <w:b/>
              </w:rPr>
              <w:t>Porcentaje</w:t>
            </w:r>
          </w:p>
        </w:tc>
        <w:tc>
          <w:tcPr>
            <w:tcW w:w="5755" w:type="dxa"/>
            <w:shd w:val="clear" w:color="auto" w:fill="CCCCCC"/>
          </w:tcPr>
          <w:p w:rsidR="001A093C" w:rsidRPr="001A093C" w:rsidRDefault="001A093C" w:rsidP="001A093C">
            <w:pPr>
              <w:jc w:val="both"/>
              <w:rPr>
                <w:rFonts w:ascii="Arial" w:hAnsi="Arial" w:cs="Arial"/>
                <w:b/>
              </w:rPr>
            </w:pPr>
            <w:r w:rsidRPr="001A093C">
              <w:rPr>
                <w:rFonts w:ascii="Arial" w:hAnsi="Arial" w:cs="Arial"/>
                <w:b/>
              </w:rPr>
              <w:t>Forma de Calificación</w:t>
            </w:r>
          </w:p>
        </w:tc>
      </w:tr>
      <w:tr w:rsidR="001A093C" w:rsidRPr="001A093C" w:rsidTr="001D01D9">
        <w:trPr>
          <w:cantSplit/>
          <w:trHeight w:val="1407"/>
          <w:tblHeader/>
          <w:jc w:val="center"/>
        </w:trPr>
        <w:tc>
          <w:tcPr>
            <w:tcW w:w="2332" w:type="dxa"/>
            <w:shd w:val="clear" w:color="C0C0C0" w:fill="FFFFFF"/>
            <w:vAlign w:val="center"/>
          </w:tcPr>
          <w:p w:rsidR="001A093C" w:rsidRPr="001A093C" w:rsidRDefault="001A093C" w:rsidP="001A093C">
            <w:pPr>
              <w:jc w:val="both"/>
              <w:rPr>
                <w:rFonts w:ascii="Arial" w:hAnsi="Arial" w:cs="Arial"/>
                <w:b/>
                <w:sz w:val="22"/>
              </w:rPr>
            </w:pPr>
            <w:r w:rsidRPr="001A093C">
              <w:rPr>
                <w:rFonts w:ascii="Arial" w:hAnsi="Arial" w:cs="Arial"/>
                <w:b/>
              </w:rPr>
              <w:t>Experiencia con empresas</w:t>
            </w:r>
          </w:p>
        </w:tc>
        <w:tc>
          <w:tcPr>
            <w:tcW w:w="1373" w:type="dxa"/>
            <w:shd w:val="clear" w:color="C0C0C0" w:fill="FFFFFF"/>
            <w:vAlign w:val="center"/>
          </w:tcPr>
          <w:p w:rsidR="001A093C" w:rsidRPr="001A093C" w:rsidRDefault="001A093C" w:rsidP="001A093C">
            <w:pPr>
              <w:tabs>
                <w:tab w:val="center" w:pos="4252"/>
                <w:tab w:val="right" w:pos="8504"/>
              </w:tabs>
              <w:jc w:val="both"/>
              <w:rPr>
                <w:rFonts w:ascii="Arial" w:hAnsi="Arial" w:cs="Arial"/>
              </w:rPr>
            </w:pPr>
            <w:r w:rsidRPr="001A093C">
              <w:rPr>
                <w:rFonts w:ascii="Arial" w:hAnsi="Arial" w:cs="Arial"/>
                <w:b/>
              </w:rPr>
              <w:t>25%</w:t>
            </w:r>
          </w:p>
        </w:tc>
        <w:tc>
          <w:tcPr>
            <w:tcW w:w="5755" w:type="dxa"/>
            <w:shd w:val="clear" w:color="C0C0C0" w:fill="FFFFFF"/>
          </w:tcPr>
          <w:p w:rsidR="001A093C" w:rsidRPr="001A093C" w:rsidRDefault="001A093C" w:rsidP="001A093C">
            <w:pPr>
              <w:widowControl w:val="0"/>
              <w:jc w:val="both"/>
              <w:rPr>
                <w:rFonts w:ascii="Arial" w:hAnsi="Arial" w:cs="Arial"/>
                <w:sz w:val="18"/>
                <w:szCs w:val="18"/>
              </w:rPr>
            </w:pPr>
            <w:r w:rsidRPr="001A093C">
              <w:rPr>
                <w:rFonts w:ascii="Arial" w:hAnsi="Arial" w:cs="Arial"/>
                <w:sz w:val="18"/>
                <w:szCs w:val="18"/>
              </w:rPr>
              <w:t xml:space="preserve">Se asignará el puntaje de la siguiente manera: </w:t>
            </w:r>
          </w:p>
          <w:p w:rsidR="001A093C" w:rsidRPr="001A093C" w:rsidRDefault="001A093C" w:rsidP="001A093C">
            <w:pPr>
              <w:widowControl w:val="0"/>
              <w:jc w:val="both"/>
              <w:rPr>
                <w:rFonts w:ascii="Arial" w:hAnsi="Arial" w:cs="Arial"/>
                <w:sz w:val="18"/>
                <w:szCs w:val="18"/>
              </w:rPr>
            </w:pPr>
          </w:p>
          <w:tbl>
            <w:tblPr>
              <w:tblW w:w="4155" w:type="dxa"/>
              <w:tblLayout w:type="fixed"/>
              <w:tblCellMar>
                <w:left w:w="0" w:type="dxa"/>
                <w:right w:w="0" w:type="dxa"/>
              </w:tblCellMar>
              <w:tblLook w:val="04A0" w:firstRow="1" w:lastRow="0" w:firstColumn="1" w:lastColumn="0" w:noHBand="0" w:noVBand="1"/>
            </w:tblPr>
            <w:tblGrid>
              <w:gridCol w:w="2910"/>
              <w:gridCol w:w="1245"/>
            </w:tblGrid>
            <w:tr w:rsidR="001A093C" w:rsidRPr="001A093C" w:rsidTr="001D01D9">
              <w:tc>
                <w:tcPr>
                  <w:tcW w:w="2910"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 xml:space="preserve">Más de 5 hasta 7  </w:t>
                  </w:r>
                </w:p>
              </w:tc>
              <w:tc>
                <w:tcPr>
                  <w:tcW w:w="1245"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10%</w:t>
                  </w:r>
                </w:p>
              </w:tc>
            </w:tr>
            <w:tr w:rsidR="001A093C" w:rsidRPr="001A093C" w:rsidTr="001D01D9">
              <w:tc>
                <w:tcPr>
                  <w:tcW w:w="2910"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 xml:space="preserve">Más de 7 hasta 10  </w:t>
                  </w:r>
                </w:p>
              </w:tc>
              <w:tc>
                <w:tcPr>
                  <w:tcW w:w="1245"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15%</w:t>
                  </w:r>
                </w:p>
              </w:tc>
            </w:tr>
            <w:tr w:rsidR="001A093C" w:rsidRPr="001A093C" w:rsidTr="001D01D9">
              <w:tc>
                <w:tcPr>
                  <w:tcW w:w="2910"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 xml:space="preserve">Más de 10 </w:t>
                  </w:r>
                </w:p>
              </w:tc>
              <w:tc>
                <w:tcPr>
                  <w:tcW w:w="1245" w:type="dxa"/>
                  <w:tcMar>
                    <w:top w:w="0" w:type="dxa"/>
                    <w:left w:w="108" w:type="dxa"/>
                    <w:bottom w:w="0" w:type="dxa"/>
                    <w:right w:w="108" w:type="dxa"/>
                  </w:tcMar>
                  <w:hideMark/>
                </w:tcPr>
                <w:p w:rsidR="001A093C" w:rsidRPr="001A093C" w:rsidRDefault="001A093C" w:rsidP="001A093C">
                  <w:pPr>
                    <w:jc w:val="both"/>
                    <w:rPr>
                      <w:rFonts w:ascii="Arial" w:hAnsi="Arial" w:cs="Arial"/>
                      <w:sz w:val="20"/>
                      <w:szCs w:val="20"/>
                    </w:rPr>
                  </w:pPr>
                  <w:r w:rsidRPr="001A093C">
                    <w:rPr>
                      <w:rFonts w:ascii="Arial" w:hAnsi="Arial" w:cs="Arial"/>
                      <w:sz w:val="20"/>
                      <w:szCs w:val="20"/>
                    </w:rPr>
                    <w:t>25%</w:t>
                  </w:r>
                </w:p>
              </w:tc>
            </w:tr>
          </w:tbl>
          <w:p w:rsidR="001A093C" w:rsidRPr="001A093C" w:rsidRDefault="001A093C" w:rsidP="001A093C">
            <w:pPr>
              <w:widowControl w:val="0"/>
              <w:jc w:val="both"/>
              <w:rPr>
                <w:rFonts w:ascii="Arial" w:hAnsi="Arial" w:cs="Arial"/>
                <w:sz w:val="18"/>
                <w:szCs w:val="18"/>
              </w:rPr>
            </w:pPr>
          </w:p>
        </w:tc>
      </w:tr>
    </w:tbl>
    <w:p w:rsidR="001A093C" w:rsidRPr="001A093C" w:rsidRDefault="001A093C" w:rsidP="001A093C">
      <w:pPr>
        <w:autoSpaceDE w:val="0"/>
        <w:autoSpaceDN w:val="0"/>
        <w:adjustRightInd w:val="0"/>
        <w:jc w:val="both"/>
        <w:rPr>
          <w:rFonts w:ascii="Arial" w:hAnsi="Arial" w:cs="Arial"/>
          <w:sz w:val="22"/>
          <w:szCs w:val="22"/>
        </w:rPr>
      </w:pPr>
    </w:p>
    <w:p w:rsidR="001A093C" w:rsidRPr="001A093C" w:rsidRDefault="001A093C" w:rsidP="001A093C">
      <w:pPr>
        <w:jc w:val="both"/>
        <w:rPr>
          <w:rFonts w:ascii="Arial" w:hAnsi="Arial" w:cs="Arial"/>
          <w:i/>
          <w:sz w:val="22"/>
          <w:szCs w:val="22"/>
          <w:lang w:val="es-MX"/>
        </w:rPr>
      </w:pPr>
      <w:r w:rsidRPr="001A093C">
        <w:rPr>
          <w:rFonts w:ascii="Arial" w:hAnsi="Arial" w:cs="Arial"/>
          <w:i/>
          <w:sz w:val="22"/>
          <w:szCs w:val="22"/>
          <w:lang w:val="es-MX"/>
        </w:rPr>
        <w:t xml:space="preserve">Se evaluará la experiencia en la prestación del servicio a distintas empresas. Para este fin, se deberán presentar certificaciones adicionales a las solicitadas en la Cláusula 1 de las Condiciones Específicas, que detallen el servicio ofrecido y los años de servicio, las cuales deberán ser emitidas por clientes que hayan recibido el servicio de manera satisfactoria. </w:t>
      </w:r>
    </w:p>
    <w:p w:rsidR="001A093C" w:rsidRPr="001A093C" w:rsidRDefault="001A093C" w:rsidP="001A093C">
      <w:pPr>
        <w:ind w:left="340"/>
        <w:jc w:val="both"/>
        <w:rPr>
          <w:rFonts w:ascii="Arial" w:hAnsi="Arial" w:cs="Arial"/>
          <w:i/>
          <w:sz w:val="22"/>
          <w:szCs w:val="22"/>
          <w:lang w:eastAsia="es-CR"/>
        </w:rPr>
      </w:pPr>
    </w:p>
    <w:p w:rsidR="001A093C" w:rsidRPr="001A093C" w:rsidRDefault="001A093C" w:rsidP="001A093C">
      <w:pPr>
        <w:tabs>
          <w:tab w:val="left" w:pos="426"/>
        </w:tabs>
        <w:jc w:val="both"/>
        <w:rPr>
          <w:rFonts w:ascii="Arial" w:hAnsi="Arial" w:cs="Arial"/>
          <w:i/>
          <w:sz w:val="22"/>
          <w:szCs w:val="22"/>
        </w:rPr>
      </w:pPr>
      <w:r w:rsidRPr="001A093C">
        <w:rPr>
          <w:rFonts w:ascii="Arial" w:hAnsi="Arial" w:cs="Arial"/>
          <w:i/>
          <w:sz w:val="22"/>
          <w:szCs w:val="22"/>
        </w:rPr>
        <w:t>Para la valoración final, se suman todos los factores anteriores, dando así la puntuación final.</w:t>
      </w:r>
    </w:p>
    <w:p w:rsidR="001A093C" w:rsidRPr="001A093C" w:rsidRDefault="001A093C" w:rsidP="001A093C">
      <w:pPr>
        <w:autoSpaceDE w:val="0"/>
        <w:autoSpaceDN w:val="0"/>
        <w:adjustRightInd w:val="0"/>
        <w:jc w:val="both"/>
        <w:rPr>
          <w:rFonts w:ascii="Arial" w:hAnsi="Arial" w:cs="Arial"/>
          <w:i/>
          <w:color w:val="000000"/>
          <w:sz w:val="22"/>
          <w:szCs w:val="22"/>
          <w:lang w:val="es-CR" w:eastAsia="es-CR"/>
        </w:rPr>
      </w:pPr>
      <w:r w:rsidRPr="001A093C">
        <w:rPr>
          <w:rFonts w:ascii="Arial" w:hAnsi="Arial" w:cs="Arial"/>
          <w:i/>
          <w:color w:val="000000"/>
          <w:sz w:val="22"/>
          <w:szCs w:val="22"/>
          <w:lang w:val="es-CR" w:eastAsia="es-CR"/>
        </w:rPr>
        <w:t>Serán seleccionadas las tres mejores ofertas que sobrepasen un puntaje de un 80% de la tabla de evaluación. En el caso de que una o ninguna de las ofertas alcance la nota mínima indicada, el ITCR se reserva el derecho de seleccionar las ofertas que hayan obtenido el mayor puntaje</w:t>
      </w:r>
    </w:p>
    <w:p w:rsidR="001A093C" w:rsidRPr="001A093C" w:rsidRDefault="001A093C" w:rsidP="001A093C">
      <w:pPr>
        <w:tabs>
          <w:tab w:val="left" w:pos="426"/>
        </w:tabs>
        <w:jc w:val="both"/>
        <w:rPr>
          <w:rFonts w:ascii="Arial" w:hAnsi="Arial" w:cs="Arial"/>
          <w:i/>
          <w:sz w:val="22"/>
          <w:szCs w:val="22"/>
          <w:lang w:val="es-CR"/>
        </w:rPr>
      </w:pPr>
    </w:p>
    <w:p w:rsidR="001A093C" w:rsidRPr="001A093C" w:rsidRDefault="001A093C" w:rsidP="001A093C">
      <w:pPr>
        <w:tabs>
          <w:tab w:val="left" w:pos="426"/>
        </w:tabs>
        <w:jc w:val="both"/>
        <w:rPr>
          <w:rFonts w:ascii="Arial" w:hAnsi="Arial" w:cs="Arial"/>
          <w:i/>
          <w:sz w:val="22"/>
          <w:szCs w:val="21"/>
        </w:rPr>
      </w:pPr>
      <w:r w:rsidRPr="001A093C">
        <w:rPr>
          <w:rFonts w:ascii="Arial" w:hAnsi="Arial" w:cs="Arial"/>
          <w:i/>
          <w:sz w:val="22"/>
          <w:szCs w:val="21"/>
        </w:rPr>
        <w:t xml:space="preserve">Se considerará como primer factor de desempate para la contratación, una puntuación adicional a las PYME que hayan demostrado su condición como tal (PYME de industria 5 </w:t>
      </w:r>
      <w:r w:rsidRPr="001A093C">
        <w:rPr>
          <w:rFonts w:ascii="Arial" w:hAnsi="Arial" w:cs="Arial"/>
          <w:i/>
          <w:sz w:val="22"/>
          <w:szCs w:val="21"/>
        </w:rPr>
        <w:lastRenderedPageBreak/>
        <w:t>puntos, PYME de servicio 5 puntos y PYME de comercio 2 puntos), según Decreto Ejecutivo Nº 33411-H; Art. 55 bis del Reglamento de la Ley de Contratación Administrativa.</w:t>
      </w:r>
    </w:p>
    <w:p w:rsidR="001A093C" w:rsidRPr="001A093C" w:rsidRDefault="001A093C" w:rsidP="001A093C">
      <w:pPr>
        <w:tabs>
          <w:tab w:val="left" w:pos="426"/>
        </w:tabs>
        <w:jc w:val="both"/>
        <w:rPr>
          <w:rFonts w:ascii="Arial" w:hAnsi="Arial" w:cs="Arial"/>
          <w:sz w:val="22"/>
          <w:szCs w:val="21"/>
        </w:rPr>
      </w:pPr>
      <w:r w:rsidRPr="001A093C">
        <w:rPr>
          <w:rFonts w:ascii="Arial" w:hAnsi="Arial" w:cs="Arial"/>
          <w:i/>
          <w:sz w:val="22"/>
          <w:szCs w:val="21"/>
        </w:rPr>
        <w:t xml:space="preserve">Seguido por la empresa con la mayor cantidad </w:t>
      </w:r>
      <w:r w:rsidRPr="001A093C">
        <w:rPr>
          <w:rFonts w:ascii="Arial" w:hAnsi="Arial" w:cs="Arial"/>
          <w:i/>
          <w:sz w:val="22"/>
          <w:szCs w:val="21"/>
          <w:lang w:val="es-CR"/>
        </w:rPr>
        <w:t>de años de experiencia en la prestación del servicio</w:t>
      </w:r>
      <w:r w:rsidRPr="001A093C">
        <w:rPr>
          <w:rFonts w:ascii="Arial" w:hAnsi="Arial" w:cs="Arial"/>
          <w:i/>
          <w:sz w:val="22"/>
          <w:szCs w:val="21"/>
        </w:rPr>
        <w:t>.</w:t>
      </w:r>
      <w:r w:rsidRPr="001A093C">
        <w:rPr>
          <w:rFonts w:ascii="Arial" w:hAnsi="Arial" w:cs="Arial"/>
          <w:sz w:val="22"/>
          <w:szCs w:val="21"/>
        </w:rPr>
        <w:t xml:space="preserve"> </w:t>
      </w:r>
    </w:p>
    <w:p w:rsidR="001A093C" w:rsidRPr="001A093C" w:rsidRDefault="001A093C" w:rsidP="001A093C">
      <w:pPr>
        <w:ind w:left="567"/>
        <w:jc w:val="both"/>
        <w:rPr>
          <w:rFonts w:ascii="Arial" w:hAnsi="Arial" w:cs="Arial"/>
          <w:bCs/>
          <w:i/>
          <w:sz w:val="22"/>
          <w:szCs w:val="22"/>
        </w:rPr>
      </w:pPr>
      <w:r w:rsidRPr="001A093C">
        <w:rPr>
          <w:rFonts w:ascii="Arial" w:hAnsi="Arial" w:cs="Arial"/>
          <w:i/>
          <w:sz w:val="22"/>
          <w:szCs w:val="22"/>
          <w:lang w:val="es-MX"/>
        </w:rPr>
        <w:t>De persistir el mismo se decidirá por la suerte, según se indica en art. 55, párrafo 4 del Reglamento de la Ley de Contratación Administrativa</w:t>
      </w:r>
      <w:r w:rsidRPr="001A093C">
        <w:rPr>
          <w:rFonts w:ascii="Arial" w:hAnsi="Arial" w:cs="Arial"/>
          <w:bCs/>
          <w:i/>
          <w:sz w:val="22"/>
          <w:szCs w:val="22"/>
        </w:rPr>
        <w:t>.</w:t>
      </w: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Evaluación de las Ofertas:</w:t>
      </w:r>
    </w:p>
    <w:p w:rsidR="001A093C" w:rsidRPr="001A093C" w:rsidRDefault="001A093C" w:rsidP="001A093C">
      <w:pPr>
        <w:keepNext/>
        <w:numPr>
          <w:ilvl w:val="0"/>
          <w:numId w:val="16"/>
        </w:numPr>
        <w:tabs>
          <w:tab w:val="clear" w:pos="360"/>
        </w:tabs>
        <w:spacing w:before="240" w:after="60"/>
        <w:ind w:left="910"/>
        <w:jc w:val="both"/>
        <w:outlineLvl w:val="0"/>
        <w:rPr>
          <w:rFonts w:ascii="Arial" w:hAnsi="Arial" w:cs="Arial"/>
          <w:b/>
          <w:bCs/>
          <w:i/>
          <w:color w:val="1F497D"/>
          <w:kern w:val="32"/>
          <w:sz w:val="20"/>
          <w:szCs w:val="20"/>
        </w:rPr>
      </w:pPr>
      <w:r w:rsidRPr="001A093C">
        <w:rPr>
          <w:rFonts w:ascii="Arial" w:hAnsi="Arial" w:cs="Arial"/>
          <w:b/>
          <w:bCs/>
          <w:i/>
          <w:color w:val="1F497D"/>
          <w:kern w:val="32"/>
          <w:sz w:val="20"/>
          <w:szCs w:val="20"/>
        </w:rPr>
        <w:t>Análisis Técnico</w:t>
      </w:r>
    </w:p>
    <w:p w:rsidR="001A093C" w:rsidRPr="001A093C" w:rsidRDefault="001A093C" w:rsidP="001A093C">
      <w:pPr>
        <w:ind w:left="567"/>
        <w:jc w:val="both"/>
        <w:rPr>
          <w:rFonts w:ascii="Arial" w:hAnsi="Arial" w:cs="Arial"/>
          <w:bCs/>
          <w:i/>
          <w:sz w:val="22"/>
          <w:szCs w:val="22"/>
        </w:rPr>
      </w:pPr>
      <w:r w:rsidRPr="001A093C">
        <w:rPr>
          <w:rFonts w:ascii="Arial" w:hAnsi="Arial" w:cs="Arial"/>
          <w:bCs/>
          <w:i/>
          <w:sz w:val="22"/>
          <w:szCs w:val="22"/>
        </w:rPr>
        <w:t xml:space="preserve">Para la calificación de las ofertas, el Departamento de Aprovisionamiento realizó un análisis de las condiciones específicas del servicio ofertado. </w:t>
      </w:r>
    </w:p>
    <w:p w:rsidR="001A093C" w:rsidRPr="001A093C" w:rsidRDefault="001A093C" w:rsidP="001A093C">
      <w:pPr>
        <w:tabs>
          <w:tab w:val="left" w:pos="426"/>
        </w:tabs>
        <w:jc w:val="both"/>
        <w:rPr>
          <w:rFonts w:ascii="Arial" w:hAnsi="Arial" w:cs="Arial"/>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9"/>
        <w:gridCol w:w="2347"/>
        <w:gridCol w:w="2154"/>
      </w:tblGrid>
      <w:tr w:rsidR="001A093C" w:rsidRPr="001A093C" w:rsidTr="001D01D9">
        <w:trPr>
          <w:trHeight w:val="600"/>
          <w:tblHeader/>
        </w:trPr>
        <w:tc>
          <w:tcPr>
            <w:tcW w:w="4849" w:type="dxa"/>
            <w:shd w:val="clear" w:color="auto" w:fill="auto"/>
            <w:vAlign w:val="center"/>
            <w:hideMark/>
          </w:tcPr>
          <w:p w:rsidR="001A093C" w:rsidRPr="001A093C" w:rsidRDefault="001A093C" w:rsidP="001A093C">
            <w:pPr>
              <w:tabs>
                <w:tab w:val="left" w:pos="426"/>
              </w:tabs>
              <w:jc w:val="center"/>
              <w:rPr>
                <w:rFonts w:ascii="Arial" w:hAnsi="Arial" w:cs="Arial"/>
                <w:bCs/>
                <w:sz w:val="20"/>
                <w:szCs w:val="20"/>
                <w:lang w:val="es-CR"/>
              </w:rPr>
            </w:pPr>
            <w:r w:rsidRPr="001A093C">
              <w:rPr>
                <w:rFonts w:ascii="Arial" w:hAnsi="Arial" w:cs="Arial"/>
                <w:bCs/>
                <w:sz w:val="20"/>
                <w:szCs w:val="20"/>
              </w:rPr>
              <w:t>Detalle/Oferente</w:t>
            </w:r>
          </w:p>
        </w:tc>
        <w:tc>
          <w:tcPr>
            <w:tcW w:w="2489" w:type="dxa"/>
            <w:shd w:val="clear" w:color="auto" w:fill="auto"/>
            <w:vAlign w:val="center"/>
            <w:hideMark/>
          </w:tcPr>
          <w:p w:rsidR="001A093C" w:rsidRPr="001A093C" w:rsidRDefault="001A093C" w:rsidP="001A093C">
            <w:pPr>
              <w:tabs>
                <w:tab w:val="left" w:pos="426"/>
              </w:tabs>
              <w:jc w:val="center"/>
              <w:rPr>
                <w:rFonts w:ascii="Arial" w:hAnsi="Arial" w:cs="Arial"/>
                <w:b/>
                <w:bCs/>
                <w:sz w:val="20"/>
                <w:szCs w:val="20"/>
              </w:rPr>
            </w:pPr>
            <w:r w:rsidRPr="001A093C">
              <w:rPr>
                <w:rFonts w:ascii="Arial" w:hAnsi="Arial" w:cs="Arial"/>
                <w:b/>
                <w:bCs/>
                <w:sz w:val="20"/>
                <w:szCs w:val="20"/>
              </w:rPr>
              <w:t>Viajes Ejecutivos Mundiales S.A.</w:t>
            </w:r>
          </w:p>
        </w:tc>
        <w:tc>
          <w:tcPr>
            <w:tcW w:w="2284" w:type="dxa"/>
            <w:shd w:val="clear" w:color="auto" w:fill="auto"/>
            <w:vAlign w:val="center"/>
            <w:hideMark/>
          </w:tcPr>
          <w:p w:rsidR="001A093C" w:rsidRPr="001A093C" w:rsidRDefault="001A093C" w:rsidP="001A093C">
            <w:pPr>
              <w:tabs>
                <w:tab w:val="left" w:pos="426"/>
              </w:tabs>
              <w:jc w:val="center"/>
              <w:rPr>
                <w:rFonts w:ascii="Arial" w:hAnsi="Arial" w:cs="Arial"/>
                <w:b/>
                <w:bCs/>
                <w:sz w:val="20"/>
                <w:szCs w:val="20"/>
              </w:rPr>
            </w:pPr>
            <w:r w:rsidRPr="001A093C">
              <w:rPr>
                <w:rFonts w:ascii="Arial" w:hAnsi="Arial" w:cs="Arial"/>
                <w:b/>
                <w:bCs/>
                <w:sz w:val="20"/>
                <w:szCs w:val="20"/>
              </w:rPr>
              <w:t>Caravana Internacional S.A.</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14" w:name="RANGE!B12"/>
            <w:r w:rsidRPr="001A093C">
              <w:rPr>
                <w:rFonts w:ascii="Arial" w:hAnsi="Arial" w:cs="Arial"/>
                <w:b/>
                <w:bCs/>
                <w:sz w:val="20"/>
                <w:szCs w:val="20"/>
              </w:rPr>
              <w:t>1.    EXPERIENCIA DE LA EMPRESA</w:t>
            </w:r>
            <w:bookmarkEnd w:id="14"/>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58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Tener como mínimo cinco (5) años de experiencia en brindar servicio como agencia de viajes.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4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Al menos tres certificaciones originales emitidas las empresas a quien se le brindó el servicio, donde se demuestre su experiencia en servicios similares al solicitado en este pliego de condiciones, en el periodo del 2014 al 2017</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vAlign w:val="center"/>
            <w:hideMark/>
          </w:tcPr>
          <w:p w:rsidR="001A093C" w:rsidRPr="001A093C" w:rsidRDefault="001A093C" w:rsidP="001A093C">
            <w:pPr>
              <w:tabs>
                <w:tab w:val="left" w:pos="426"/>
              </w:tabs>
              <w:rPr>
                <w:rFonts w:ascii="Arial" w:hAnsi="Arial" w:cs="Arial"/>
                <w:b/>
                <w:bCs/>
                <w:sz w:val="20"/>
                <w:szCs w:val="20"/>
              </w:rPr>
            </w:pPr>
            <w:r w:rsidRPr="001A093C">
              <w:rPr>
                <w:rFonts w:ascii="Arial" w:hAnsi="Arial" w:cs="Arial"/>
                <w:b/>
                <w:bCs/>
                <w:sz w:val="20"/>
                <w:szCs w:val="20"/>
              </w:rPr>
              <w:t>2. REQUISITOS TÉCNICOS DE LAS EMPRESAS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28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Permiso Sanitario de Funcionamiento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2022</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28/04/2019</w:t>
            </w:r>
          </w:p>
        </w:tc>
      </w:tr>
      <w:tr w:rsidR="001A093C" w:rsidRPr="001A093C" w:rsidTr="001D01D9">
        <w:trPr>
          <w:trHeight w:val="28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Patente respectiva ambas vigentes para ejercer la actividad</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2022</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2017</w:t>
            </w:r>
          </w:p>
        </w:tc>
      </w:tr>
      <w:tr w:rsidR="001A093C" w:rsidRPr="001A093C" w:rsidTr="001D01D9">
        <w:trPr>
          <w:trHeight w:val="85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Convenio (s) o acuerdo (s) con alguna Franquicia y/o Alianza Estratégica con el objetivo de tener una mayor representación, rango de acción y corresponsales en los mercados internacionales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 xml:space="preserve">Global </w:t>
            </w:r>
            <w:proofErr w:type="spellStart"/>
            <w:r w:rsidRPr="001A093C">
              <w:rPr>
                <w:rFonts w:ascii="Arial" w:hAnsi="Arial" w:cs="Arial"/>
                <w:bCs/>
                <w:sz w:val="20"/>
                <w:szCs w:val="20"/>
              </w:rPr>
              <w:t>Star</w:t>
            </w:r>
            <w:proofErr w:type="spellEnd"/>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 xml:space="preserve">Reed &amp; </w:t>
            </w:r>
            <w:proofErr w:type="spellStart"/>
            <w:r w:rsidRPr="001A093C">
              <w:rPr>
                <w:rFonts w:ascii="Arial" w:hAnsi="Arial" w:cs="Arial"/>
                <w:bCs/>
                <w:sz w:val="20"/>
                <w:szCs w:val="20"/>
              </w:rPr>
              <w:t>Mackay</w:t>
            </w:r>
            <w:proofErr w:type="spellEnd"/>
          </w:p>
        </w:tc>
      </w:tr>
      <w:tr w:rsidR="001A093C" w:rsidRPr="001A093C" w:rsidTr="001D01D9">
        <w:trPr>
          <w:trHeight w:val="57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Agencia reconocida por la IATA (Internacional Air </w:t>
            </w:r>
            <w:proofErr w:type="spellStart"/>
            <w:r w:rsidRPr="001A093C">
              <w:rPr>
                <w:rFonts w:ascii="Arial" w:hAnsi="Arial" w:cs="Arial"/>
                <w:bCs/>
                <w:sz w:val="20"/>
                <w:szCs w:val="20"/>
              </w:rPr>
              <w:t>Transport</w:t>
            </w:r>
            <w:proofErr w:type="spellEnd"/>
            <w:r w:rsidRPr="001A093C">
              <w:rPr>
                <w:rFonts w:ascii="Arial" w:hAnsi="Arial" w:cs="Arial"/>
                <w:bCs/>
                <w:sz w:val="20"/>
                <w:szCs w:val="20"/>
              </w:rPr>
              <w:t xml:space="preserve"> </w:t>
            </w:r>
            <w:proofErr w:type="spellStart"/>
            <w:r w:rsidRPr="001A093C">
              <w:rPr>
                <w:rFonts w:ascii="Arial" w:hAnsi="Arial" w:cs="Arial"/>
                <w:bCs/>
                <w:sz w:val="20"/>
                <w:szCs w:val="20"/>
              </w:rPr>
              <w:t>Association</w:t>
            </w:r>
            <w:proofErr w:type="spellEnd"/>
            <w:r w:rsidRPr="001A093C">
              <w:rPr>
                <w:rFonts w:ascii="Arial" w:hAnsi="Arial" w:cs="Arial"/>
                <w:bCs/>
                <w:sz w:val="20"/>
                <w:szCs w:val="20"/>
              </w:rPr>
              <w:t xml:space="preserve">)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1994-2017</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1989-</w:t>
            </w:r>
          </w:p>
        </w:tc>
      </w:tr>
      <w:tr w:rsidR="001A093C" w:rsidRPr="001A093C" w:rsidTr="001D01D9">
        <w:trPr>
          <w:trHeight w:val="28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Relación comercial como mínimo con las siguientes aerolíneas: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285"/>
        </w:trPr>
        <w:tc>
          <w:tcPr>
            <w:tcW w:w="4849" w:type="dxa"/>
            <w:shd w:val="clear" w:color="auto" w:fill="auto"/>
            <w:noWrap/>
            <w:vAlign w:val="center"/>
            <w:hideMark/>
          </w:tcPr>
          <w:p w:rsidR="001A093C" w:rsidRPr="001A093C" w:rsidRDefault="001A093C" w:rsidP="001A093C">
            <w:pPr>
              <w:numPr>
                <w:ilvl w:val="0"/>
                <w:numId w:val="20"/>
              </w:numPr>
              <w:tabs>
                <w:tab w:val="left" w:pos="426"/>
              </w:tabs>
              <w:rPr>
                <w:rFonts w:ascii="Arial" w:hAnsi="Arial" w:cs="Arial"/>
                <w:bCs/>
                <w:sz w:val="20"/>
                <w:szCs w:val="20"/>
              </w:rPr>
            </w:pPr>
            <w:r w:rsidRPr="001A093C">
              <w:rPr>
                <w:rFonts w:ascii="Arial" w:hAnsi="Arial" w:cs="Arial"/>
                <w:bCs/>
                <w:sz w:val="20"/>
                <w:szCs w:val="20"/>
              </w:rPr>
              <w:t>American Airlines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vAlign w:val="center"/>
            <w:hideMark/>
          </w:tcPr>
          <w:p w:rsidR="001A093C" w:rsidRPr="001A093C" w:rsidRDefault="001A093C" w:rsidP="001A093C">
            <w:pPr>
              <w:numPr>
                <w:ilvl w:val="0"/>
                <w:numId w:val="20"/>
              </w:numPr>
              <w:tabs>
                <w:tab w:val="left" w:pos="426"/>
              </w:tabs>
              <w:rPr>
                <w:rFonts w:ascii="Arial" w:hAnsi="Arial" w:cs="Arial"/>
                <w:bCs/>
                <w:sz w:val="20"/>
                <w:szCs w:val="20"/>
              </w:rPr>
            </w:pPr>
            <w:r w:rsidRPr="001A093C">
              <w:rPr>
                <w:rFonts w:ascii="Arial" w:hAnsi="Arial" w:cs="Arial"/>
                <w:bCs/>
                <w:sz w:val="20"/>
                <w:szCs w:val="20"/>
              </w:rPr>
              <w:t xml:space="preserve">Avianca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vAlign w:val="center"/>
            <w:hideMark/>
          </w:tcPr>
          <w:p w:rsidR="001A093C" w:rsidRPr="001A093C" w:rsidRDefault="001A093C" w:rsidP="001A093C">
            <w:pPr>
              <w:numPr>
                <w:ilvl w:val="0"/>
                <w:numId w:val="20"/>
              </w:numPr>
              <w:tabs>
                <w:tab w:val="left" w:pos="426"/>
              </w:tabs>
              <w:rPr>
                <w:rFonts w:ascii="Arial" w:hAnsi="Arial" w:cs="Arial"/>
                <w:bCs/>
                <w:sz w:val="20"/>
                <w:szCs w:val="20"/>
              </w:rPr>
            </w:pPr>
            <w:r w:rsidRPr="001A093C">
              <w:rPr>
                <w:rFonts w:ascii="Arial" w:hAnsi="Arial" w:cs="Arial"/>
                <w:bCs/>
                <w:sz w:val="20"/>
                <w:szCs w:val="20"/>
              </w:rPr>
              <w:t>Copa Airlines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noWrap/>
            <w:vAlign w:val="center"/>
            <w:hideMark/>
          </w:tcPr>
          <w:p w:rsidR="001A093C" w:rsidRPr="001A093C" w:rsidRDefault="001A093C" w:rsidP="001A093C">
            <w:pPr>
              <w:numPr>
                <w:ilvl w:val="0"/>
                <w:numId w:val="20"/>
              </w:numPr>
              <w:tabs>
                <w:tab w:val="left" w:pos="426"/>
              </w:tabs>
              <w:rPr>
                <w:rFonts w:ascii="Arial" w:hAnsi="Arial" w:cs="Arial"/>
                <w:bCs/>
                <w:sz w:val="20"/>
                <w:szCs w:val="20"/>
              </w:rPr>
            </w:pPr>
            <w:r w:rsidRPr="001A093C">
              <w:rPr>
                <w:rFonts w:ascii="Arial" w:hAnsi="Arial" w:cs="Arial"/>
                <w:bCs/>
                <w:sz w:val="20"/>
                <w:szCs w:val="20"/>
              </w:rPr>
              <w:t>Delta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vAlign w:val="center"/>
            <w:hideMark/>
          </w:tcPr>
          <w:p w:rsidR="001A093C" w:rsidRPr="001A093C" w:rsidRDefault="001A093C" w:rsidP="001A093C">
            <w:pPr>
              <w:numPr>
                <w:ilvl w:val="0"/>
                <w:numId w:val="20"/>
              </w:numPr>
              <w:tabs>
                <w:tab w:val="left" w:pos="426"/>
              </w:tabs>
              <w:rPr>
                <w:rFonts w:ascii="Arial" w:hAnsi="Arial" w:cs="Arial"/>
                <w:bCs/>
                <w:sz w:val="20"/>
                <w:szCs w:val="20"/>
              </w:rPr>
            </w:pPr>
            <w:r w:rsidRPr="001A093C">
              <w:rPr>
                <w:rFonts w:ascii="Arial" w:hAnsi="Arial" w:cs="Arial"/>
                <w:bCs/>
                <w:sz w:val="20"/>
                <w:szCs w:val="20"/>
              </w:rPr>
              <w:t>Iberia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noWrap/>
            <w:vAlign w:val="center"/>
            <w:hideMark/>
          </w:tcPr>
          <w:p w:rsidR="001A093C" w:rsidRPr="001A093C" w:rsidRDefault="001A093C" w:rsidP="001A093C">
            <w:pPr>
              <w:numPr>
                <w:ilvl w:val="0"/>
                <w:numId w:val="20"/>
              </w:numPr>
              <w:tabs>
                <w:tab w:val="left" w:pos="426"/>
              </w:tabs>
              <w:rPr>
                <w:rFonts w:ascii="Arial" w:hAnsi="Arial" w:cs="Arial"/>
                <w:bCs/>
                <w:sz w:val="20"/>
                <w:szCs w:val="20"/>
              </w:rPr>
            </w:pPr>
            <w:proofErr w:type="spellStart"/>
            <w:r w:rsidRPr="001A093C">
              <w:rPr>
                <w:rFonts w:ascii="Arial" w:hAnsi="Arial" w:cs="Arial"/>
                <w:bCs/>
                <w:sz w:val="20"/>
                <w:szCs w:val="20"/>
              </w:rPr>
              <w:t>United</w:t>
            </w:r>
            <w:proofErr w:type="spellEnd"/>
            <w:r w:rsidRPr="001A093C">
              <w:rPr>
                <w:rFonts w:ascii="Arial" w:hAnsi="Arial" w:cs="Arial"/>
                <w:bCs/>
                <w:sz w:val="20"/>
                <w:szCs w:val="20"/>
              </w:rPr>
              <w:t xml:space="preserve"> Airlines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4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Licencia o certificación del ICT (Instituto Costarricense de Turismo), para lo cual deberá aportar el documento que lo acredite como tal otorgada por este ente, con no más de un mes de emitida a la fecha de apertura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03/11/2017</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06/11/2017</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bookmarkStart w:id="15" w:name="RANGE!B28"/>
            <w:r w:rsidRPr="001A093C">
              <w:rPr>
                <w:rFonts w:ascii="Arial" w:hAnsi="Arial" w:cs="Arial"/>
                <w:b/>
                <w:bCs/>
                <w:sz w:val="20"/>
                <w:szCs w:val="20"/>
              </w:rPr>
              <w:t>3.</w:t>
            </w:r>
            <w:r w:rsidRPr="001A093C">
              <w:rPr>
                <w:rFonts w:ascii="Arial" w:hAnsi="Arial" w:cs="Arial"/>
                <w:bCs/>
                <w:sz w:val="20"/>
                <w:szCs w:val="20"/>
              </w:rPr>
              <w:t xml:space="preserve">    </w:t>
            </w:r>
            <w:r w:rsidRPr="001A093C">
              <w:rPr>
                <w:rFonts w:ascii="Arial" w:hAnsi="Arial" w:cs="Arial"/>
                <w:b/>
                <w:bCs/>
                <w:sz w:val="20"/>
                <w:szCs w:val="20"/>
              </w:rPr>
              <w:t>CAPACIDAD TECNOLÓGICA</w:t>
            </w:r>
            <w:bookmarkEnd w:id="15"/>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8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Amadeus: Programa europeo de acuerdos de distribución integra de tarifas; que garantiza a las agencias de viajes toda la gama de tarifas de una aerolínea a través del sistema.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26/06/2017</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26/06/2017</w:t>
            </w:r>
          </w:p>
        </w:tc>
      </w:tr>
      <w:tr w:rsidR="001A093C" w:rsidRPr="001A093C" w:rsidTr="001D01D9">
        <w:trPr>
          <w:trHeight w:val="28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lastRenderedPageBreak/>
              <w:t xml:space="preserve">-        </w:t>
            </w:r>
            <w:proofErr w:type="spellStart"/>
            <w:r w:rsidRPr="001A093C">
              <w:rPr>
                <w:rFonts w:ascii="Arial" w:hAnsi="Arial" w:cs="Arial"/>
                <w:bCs/>
                <w:sz w:val="20"/>
                <w:szCs w:val="20"/>
              </w:rPr>
              <w:t>Sabre</w:t>
            </w:r>
            <w:proofErr w:type="spellEnd"/>
            <w:r w:rsidRPr="001A093C">
              <w:rPr>
                <w:rFonts w:ascii="Arial" w:hAnsi="Arial" w:cs="Arial"/>
                <w:bCs/>
                <w:sz w:val="20"/>
                <w:szCs w:val="20"/>
              </w:rPr>
              <w:t>: El sistema Global de reservas.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30/10/2017</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27/10/2017</w:t>
            </w:r>
          </w:p>
        </w:tc>
      </w:tr>
      <w:tr w:rsidR="001A093C" w:rsidRPr="001A093C" w:rsidTr="001D01D9">
        <w:trPr>
          <w:trHeight w:val="8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        </w:t>
            </w:r>
            <w:proofErr w:type="spellStart"/>
            <w:r w:rsidRPr="001A093C">
              <w:rPr>
                <w:rFonts w:ascii="Arial" w:hAnsi="Arial" w:cs="Arial"/>
                <w:bCs/>
                <w:sz w:val="20"/>
                <w:szCs w:val="20"/>
              </w:rPr>
              <w:t>Travel</w:t>
            </w:r>
            <w:proofErr w:type="spellEnd"/>
            <w:r w:rsidRPr="001A093C">
              <w:rPr>
                <w:rFonts w:ascii="Arial" w:hAnsi="Arial" w:cs="Arial"/>
                <w:bCs/>
                <w:sz w:val="20"/>
                <w:szCs w:val="20"/>
              </w:rPr>
              <w:t xml:space="preserve"> Port con Galileo: Para garantizar que la agencia cuente con acceso en línea con las aerolíneas sin ningún tipo de recargo o costo adicional para la Instituto Tecnológico de Costa Rica.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07/11/2017</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16" w:name="RANGE!B32"/>
            <w:r w:rsidRPr="001A093C">
              <w:rPr>
                <w:rFonts w:ascii="Arial" w:hAnsi="Arial" w:cs="Arial"/>
                <w:b/>
                <w:bCs/>
                <w:sz w:val="20"/>
                <w:szCs w:val="20"/>
              </w:rPr>
              <w:t>4.    SOBRE EL PERSONAL</w:t>
            </w:r>
            <w:bookmarkEnd w:id="16"/>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57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La empresa oferente deberá contar con un equipo de trabajo mínimo de tres (3) agentes de viajes con experiencia en este tipo de servicio</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4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El equipo de trabajo propuesto deberá formar parte de la planilla de la empresa oferente a tiempo completo, y durante al menos los últimos seis meses, para lo cual deberán aportar copia de la planilla de la Caja Costarricense de Seguro Social</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8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i/>
                <w:iCs/>
                <w:sz w:val="20"/>
                <w:szCs w:val="20"/>
              </w:rPr>
            </w:pPr>
            <w:r w:rsidRPr="001A093C">
              <w:rPr>
                <w:rFonts w:ascii="Arial" w:hAnsi="Arial" w:cs="Arial"/>
                <w:bCs/>
                <w:i/>
                <w:iCs/>
                <w:sz w:val="20"/>
                <w:szCs w:val="20"/>
              </w:rPr>
              <w:t>Requisitos de los agentes de viajes: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11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Haber aprobado al menos un seminario o curso relacionado con alguno de los sistemas de reservación de aerolíneas indicados anteriormente (Amadeus-</w:t>
            </w:r>
            <w:proofErr w:type="spellStart"/>
            <w:r w:rsidRPr="001A093C">
              <w:rPr>
                <w:rFonts w:ascii="Arial" w:hAnsi="Arial" w:cs="Arial"/>
                <w:bCs/>
                <w:sz w:val="20"/>
                <w:szCs w:val="20"/>
              </w:rPr>
              <w:t>Sabre</w:t>
            </w:r>
            <w:proofErr w:type="spellEnd"/>
            <w:r w:rsidRPr="001A093C">
              <w:rPr>
                <w:rFonts w:ascii="Arial" w:hAnsi="Arial" w:cs="Arial"/>
                <w:bCs/>
                <w:sz w:val="20"/>
                <w:szCs w:val="20"/>
              </w:rPr>
              <w:t>-</w:t>
            </w:r>
            <w:proofErr w:type="spellStart"/>
            <w:r w:rsidRPr="001A093C">
              <w:rPr>
                <w:rFonts w:ascii="Arial" w:hAnsi="Arial" w:cs="Arial"/>
                <w:bCs/>
                <w:sz w:val="20"/>
                <w:szCs w:val="20"/>
              </w:rPr>
              <w:t>Travel</w:t>
            </w:r>
            <w:proofErr w:type="spellEnd"/>
            <w:r w:rsidRPr="001A093C">
              <w:rPr>
                <w:rFonts w:ascii="Arial" w:hAnsi="Arial" w:cs="Arial"/>
                <w:bCs/>
                <w:sz w:val="20"/>
                <w:szCs w:val="20"/>
              </w:rPr>
              <w:t xml:space="preserve"> Port con Galileo). Se debe adjuntar una copia del título (o certificación) del curso aprobado.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8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Tener como mínimo cinco (5) años de experiencia, en realizar reservaciones a destinos internacionales y emisión de tiquetes de viaje. Debe presentar declaración jurada.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42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Tener actualmente al menos 3 clientes del sector público o privado. Se debe aportar mediante declaración jurada el nombre, número telefónico del funcionario con quien trata directamente y nombre de la empresa o institución. El ITCR se reserva el derecho de verificar esta información.</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Parcialmente, de uno de los agentes no se presenta la cartera de clientes</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r w:rsidRPr="001A093C">
              <w:rPr>
                <w:rFonts w:ascii="Arial" w:hAnsi="Arial" w:cs="Arial"/>
                <w:b/>
                <w:bCs/>
                <w:sz w:val="20"/>
                <w:szCs w:val="20"/>
              </w:rPr>
              <w:t>5. HORARIOS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85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El oferente debe garantizar un tiempo o servicio de operación que cubra el horario hábil del ITCR, el cuál es de lunes a viernes de 7:30 a.m. a 4:30 p.m.</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42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Disponibilidad: El oferente debe garantizar un servicio las 24 horas del día, los 365 días del año, para lo cual se deberá asignar un ejecutivo de cuenta con una experiencia mínima de cinco (5) años, con su respectivo suplente para atender las necesidades y urgencias de la Administración durante la prestación del servicio.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517"/>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Horario del servicio de emergencia para el viajero: El oferente debe garantizar un servicio de emergencia 24/7, incluyendo días feriados y horas fuera de oficina. Se debe suministrar al menos dos números de teléfono y correo electrónico con sus respectivos contactos.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17" w:name="RANGE!B43"/>
            <w:r w:rsidRPr="001A093C">
              <w:rPr>
                <w:rFonts w:ascii="Arial" w:hAnsi="Arial" w:cs="Arial"/>
                <w:b/>
                <w:bCs/>
                <w:sz w:val="20"/>
                <w:szCs w:val="20"/>
              </w:rPr>
              <w:t>6.    PRECIO DEL SERVICIO</w:t>
            </w:r>
            <w:bookmarkEnd w:id="17"/>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57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lastRenderedPageBreak/>
              <w:t>La cotización deberá ser presentada en un tiempo máximo de 6 horas hábiles.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28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a) Impuestos: De conformidad con la Ley 7293, artículo 6, del 31 de marzo de 1992), el ITCR está exento del pago de impuestos. </w:t>
            </w:r>
            <w:r w:rsidRPr="001A093C">
              <w:rPr>
                <w:rFonts w:ascii="Arial" w:hAnsi="Arial" w:cs="Arial"/>
                <w:bCs/>
                <w:sz w:val="20"/>
                <w:szCs w:val="20"/>
              </w:rPr>
              <w:br/>
              <w:t xml:space="preserve">El precio cotizado debe incluir únicamente impuestos de salida. No debe incluir impuesto de ventas, ni impuestos de turismo. Por lo que debe indicar en su oferta que el precio cotizado se encuentra libre de estos impuestos, de lo contrario se presume que los contempla y deberán ser deducidos del precio.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855"/>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b) Tarjetas de turismo: En caso de que el país de destino solicite tarjetas de turismo, la agencia deberá cotizarlo como adicional, en caso de que la Administración así lo requiera.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18" w:name="RANGE!B47"/>
            <w:r w:rsidRPr="001A093C">
              <w:rPr>
                <w:rFonts w:ascii="Arial" w:hAnsi="Arial" w:cs="Arial"/>
                <w:b/>
                <w:bCs/>
                <w:sz w:val="20"/>
                <w:szCs w:val="20"/>
              </w:rPr>
              <w:t>9.    REPORTES</w:t>
            </w:r>
            <w:bookmarkEnd w:id="18"/>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710"/>
        </w:trPr>
        <w:tc>
          <w:tcPr>
            <w:tcW w:w="4849" w:type="dxa"/>
            <w:shd w:val="clear" w:color="auto" w:fill="auto"/>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El contratista enviará a la Unidad de Proveeduría vía correo electrónico los reportes que le sean solicitados. Asimismo, enviará quincenalmente reportes de compras en formato de Excel “.</w:t>
            </w:r>
            <w:proofErr w:type="spellStart"/>
            <w:r w:rsidRPr="001A093C">
              <w:rPr>
                <w:rFonts w:ascii="Arial" w:hAnsi="Arial" w:cs="Arial"/>
                <w:bCs/>
                <w:sz w:val="20"/>
                <w:szCs w:val="20"/>
              </w:rPr>
              <w:t>xls</w:t>
            </w:r>
            <w:proofErr w:type="spellEnd"/>
            <w:r w:rsidRPr="001A093C">
              <w:rPr>
                <w:rFonts w:ascii="Arial" w:hAnsi="Arial" w:cs="Arial"/>
                <w:bCs/>
                <w:sz w:val="20"/>
                <w:szCs w:val="20"/>
              </w:rPr>
              <w:t xml:space="preserve">”, que realizó la Administración (Unidad de Proveeduría) durante la primera y segunda quincena de cada mes (con plazo de dos días hábiles posteriores a dicho corte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19" w:name="RANGE!B49"/>
            <w:r w:rsidRPr="001A093C">
              <w:rPr>
                <w:rFonts w:ascii="Arial" w:hAnsi="Arial" w:cs="Arial"/>
                <w:b/>
                <w:bCs/>
                <w:sz w:val="20"/>
                <w:szCs w:val="20"/>
              </w:rPr>
              <w:t>10.    BOLETOS</w:t>
            </w:r>
            <w:bookmarkEnd w:id="19"/>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37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a)    Autorización de boletos: El ITCR se reserva el derecho de seleccionar la opción que más le favorezca y coordinará la entrega de la orden de compra.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58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b)   Envío de tiquetes y documentos del seguro: Los tiquetes y documentos del seguro deberán enviarse al pasajero en forma individual con copia a la Unidad de Proveeduría en horas de la tarde si la adjudicación se realizó por la mañana; y al día hábil siguiente por la mañana si se adjudicó por la tarde, según se indicará en la orden de pedido. En caso de no enviar el boleto de manera oportuna, el contratista se expone a perder su rol y el pago del mismo; además el tiquete se podrá adquirir con el siguiente proveedor en turno.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72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c)    Solicitud de cambio o cancelación de itinerarios: El ITCR podrá solicitar la cancelación de reservaciones o cambio de itinerarios de acuerdo a sus necesidades o cambio de planes sin costo alguno, la misma se realizará dentro del mismo día hábil de realizada la reservación. Excepto por las multas o penalizaciones que aplique la línea aérea en caso de haberse concretado la orden de compra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d)   Anulación de boletos ya emitidos: Para la anulación de los pasajes aéreos el contratista deberá remitir la información de la compañía aérea donde se encuentran establecidas las </w:t>
            </w:r>
            <w:r w:rsidRPr="001A093C">
              <w:rPr>
                <w:rFonts w:ascii="Arial" w:hAnsi="Arial" w:cs="Arial"/>
                <w:bCs/>
                <w:sz w:val="20"/>
                <w:szCs w:val="20"/>
              </w:rPr>
              <w:lastRenderedPageBreak/>
              <w:t xml:space="preserve">reglas y nivel de restricción de la cancelación de los pasajes aéreos.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lastRenderedPageBreak/>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0" w:name="RANGE!B54"/>
            <w:r w:rsidRPr="001A093C">
              <w:rPr>
                <w:rFonts w:ascii="Arial" w:hAnsi="Arial" w:cs="Arial"/>
                <w:b/>
                <w:bCs/>
                <w:sz w:val="20"/>
                <w:szCs w:val="20"/>
              </w:rPr>
              <w:t>12.    INFORMACIÓN PARA EL VIAJERO</w:t>
            </w:r>
            <w:bookmarkEnd w:id="20"/>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11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En caso de requerirlo, la Administración, le solicitará al contratista que envié al pasajero vía correo electrónico toda la información atinente a su viaje, de manera que pueda </w:t>
            </w:r>
            <w:proofErr w:type="spellStart"/>
            <w:r w:rsidRPr="001A093C">
              <w:rPr>
                <w:rFonts w:ascii="Arial" w:hAnsi="Arial" w:cs="Arial"/>
                <w:bCs/>
                <w:sz w:val="20"/>
                <w:szCs w:val="20"/>
              </w:rPr>
              <w:t>accesarla</w:t>
            </w:r>
            <w:proofErr w:type="spellEnd"/>
            <w:r w:rsidRPr="001A093C">
              <w:rPr>
                <w:rFonts w:ascii="Arial" w:hAnsi="Arial" w:cs="Arial"/>
                <w:bCs/>
                <w:sz w:val="20"/>
                <w:szCs w:val="20"/>
              </w:rPr>
              <w:t xml:space="preserve"> de manera sencilla.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57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Se debe ofrecer orientación sobre los requisitos para la obtención de certificados de vacunación de acuerdo a cada país.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8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proofErr w:type="gramStart"/>
            <w:r w:rsidRPr="001A093C">
              <w:rPr>
                <w:rFonts w:ascii="Arial" w:hAnsi="Arial" w:cs="Arial"/>
                <w:bCs/>
                <w:sz w:val="20"/>
                <w:szCs w:val="20"/>
              </w:rPr>
              <w:t>Además</w:t>
            </w:r>
            <w:proofErr w:type="gramEnd"/>
            <w:r w:rsidRPr="001A093C">
              <w:rPr>
                <w:rFonts w:ascii="Arial" w:hAnsi="Arial" w:cs="Arial"/>
                <w:bCs/>
                <w:sz w:val="20"/>
                <w:szCs w:val="20"/>
              </w:rPr>
              <w:t xml:space="preserve"> es deber del contratista informar al ITCR sobre los requisitos migratorios de los diferentes países y cualquier cambio o requisito nuevo en los países de destino.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1" w:name="RANGE!B58"/>
            <w:r w:rsidRPr="001A093C">
              <w:rPr>
                <w:rFonts w:ascii="Arial" w:hAnsi="Arial" w:cs="Arial"/>
                <w:b/>
                <w:bCs/>
                <w:sz w:val="20"/>
                <w:szCs w:val="20"/>
              </w:rPr>
              <w:t>13.    BENEFICIOS</w:t>
            </w:r>
            <w:bookmarkEnd w:id="21"/>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201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a)    El contratista debe considerar dentro de las alternativas de rutas presentadas las tarifas y precios promocionales practicados por las compañías aéreas, incluyendo el contenido en la tarifa web, observando las condiciones necesarias para tales tarifas y precios. Los eventuales beneficios/descuentos concedidos por las compañías aéreas serán trasladados íntegramente al ITCR, de ninguna manera a los pasajeros.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201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b)    La Agencia deberá informar sobre los beneficios por la adquisición reiterada de tiquetes aéreos o terrestres, de las diferentes líneas comerciales. Para lo cual deberá presentar, en el plazo máximo de un mes después de haber iniciado la ejecución del contrato, una propuesta donde se indiquen entre otras, nombre de la línea aérea, condiciones y plazos para la obtención y uso del beneficio y cualquier otra información de interés para la Institución.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c)    Asimismo, y una vez que se hayan aprobado por parte del Instituto los planes de beneficios, el contratista deberá mantener actualizado el control de beneficios obtenidos e informar al ITCR, cada vez que esta lo requiera. </w:t>
            </w:r>
          </w:p>
          <w:p w:rsidR="001A093C" w:rsidRPr="001A093C" w:rsidRDefault="001A093C" w:rsidP="001A093C">
            <w:pPr>
              <w:tabs>
                <w:tab w:val="left" w:pos="426"/>
              </w:tabs>
              <w:rPr>
                <w:rFonts w:ascii="Arial" w:hAnsi="Arial" w:cs="Arial"/>
                <w:bCs/>
                <w:sz w:val="20"/>
                <w:szCs w:val="20"/>
              </w:rPr>
            </w:pP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2" w:name="RANGE!B62"/>
            <w:r w:rsidRPr="001A093C">
              <w:rPr>
                <w:rFonts w:ascii="Arial" w:hAnsi="Arial" w:cs="Arial"/>
                <w:b/>
                <w:bCs/>
                <w:sz w:val="20"/>
                <w:szCs w:val="20"/>
              </w:rPr>
              <w:t xml:space="preserve">14.    SEGUROS </w:t>
            </w:r>
            <w:bookmarkEnd w:id="22"/>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11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 xml:space="preserve">El contratista deberá tener relaciones comerciales con agencias de seguros viajeros. Las coberturas deberán cubrir aspectos como: seguro de vida y repatriación, entre otros. El monto de la cobertura deberá ser informado con cada orden de pedido.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3" w:name="RANGE!B64"/>
            <w:r w:rsidRPr="001A093C">
              <w:rPr>
                <w:rFonts w:ascii="Arial" w:hAnsi="Arial" w:cs="Arial"/>
                <w:b/>
                <w:bCs/>
                <w:sz w:val="20"/>
                <w:szCs w:val="20"/>
              </w:rPr>
              <w:t>15.    EQUIPAJE</w:t>
            </w:r>
            <w:bookmarkEnd w:id="23"/>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11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lastRenderedPageBreak/>
              <w:t xml:space="preserve">El contratista debe garantizar que con cada tiquete el pasajero tendrá derecho en todas las conexiones al menos al equipaje de mano y una maleta. Si este no los incluye deberá cotizarlo como adicional cuando corresponda. </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4" w:name="RANGE!B66"/>
            <w:r w:rsidRPr="001A093C">
              <w:rPr>
                <w:rFonts w:ascii="Arial" w:hAnsi="Arial" w:cs="Arial"/>
                <w:b/>
                <w:bCs/>
                <w:sz w:val="20"/>
                <w:szCs w:val="20"/>
              </w:rPr>
              <w:t>16.   SERVICIOS ADICIONALES</w:t>
            </w:r>
            <w:bookmarkEnd w:id="24"/>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58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a)    En casos excepcionales el Instituto podrá solicitar transporte terrestre o ferroviario en el país de destino.</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4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b)   En caso de que la aerolínea adjudicada cancele el vuelo sin previo aviso, (siempre y cuando no sea por causas imputables a la naturaleza o de seguridad y que todas las aerolíneas acojan esta medida) la agencia debe coordinar de inmediato otro vuelo con el mismo destino.</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1155"/>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c)    En caso de cancelación o de que el vuelo sea pospuesto por parte de la aerolínea, se debe asegurar que se le brindará el hospedaje, el transporte y la alimentación al pasajero si el tiempo de espera así lo amerita.</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NO MENCIONA</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noWrap/>
          </w:tcPr>
          <w:p w:rsidR="001A093C" w:rsidRPr="001A093C" w:rsidRDefault="001A093C" w:rsidP="001A093C">
            <w:r w:rsidRPr="001A093C">
              <w:rPr>
                <w:rFonts w:ascii="Arial" w:hAnsi="Arial" w:cs="Arial"/>
                <w:b/>
                <w:bCs/>
                <w:sz w:val="20"/>
                <w:szCs w:val="20"/>
              </w:rPr>
              <w:t>17.  PROCEDIMIENTO PARA LA CONTRATACIÓN DE SERVICIOS</w:t>
            </w:r>
          </w:p>
        </w:tc>
        <w:tc>
          <w:tcPr>
            <w:tcW w:w="2489" w:type="dxa"/>
            <w:shd w:val="clear" w:color="auto" w:fill="auto"/>
            <w:noWrap/>
            <w:vAlign w:val="center"/>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300"/>
        </w:trPr>
        <w:tc>
          <w:tcPr>
            <w:tcW w:w="4849" w:type="dxa"/>
            <w:shd w:val="clear" w:color="auto" w:fill="auto"/>
            <w:noWrap/>
          </w:tcPr>
          <w:p w:rsidR="001A093C" w:rsidRPr="001A093C" w:rsidRDefault="001A093C" w:rsidP="001A093C">
            <w:r w:rsidRPr="001A093C">
              <w:rPr>
                <w:rFonts w:ascii="Arial" w:hAnsi="Arial" w:cs="Arial"/>
                <w:b/>
                <w:bCs/>
                <w:sz w:val="20"/>
                <w:szCs w:val="20"/>
              </w:rPr>
              <w:t>18.   FISCALIZACIÓN DE LA CONTRATACION</w:t>
            </w:r>
          </w:p>
        </w:tc>
        <w:tc>
          <w:tcPr>
            <w:tcW w:w="2489" w:type="dxa"/>
            <w:shd w:val="clear" w:color="auto" w:fill="auto"/>
            <w:noWrap/>
            <w:vAlign w:val="center"/>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300"/>
        </w:trPr>
        <w:tc>
          <w:tcPr>
            <w:tcW w:w="4849" w:type="dxa"/>
            <w:shd w:val="clear" w:color="auto" w:fill="auto"/>
            <w:noWrap/>
            <w:vAlign w:val="center"/>
            <w:hideMark/>
          </w:tcPr>
          <w:p w:rsidR="001A093C" w:rsidRPr="001A093C" w:rsidRDefault="001A093C" w:rsidP="001A093C">
            <w:pPr>
              <w:tabs>
                <w:tab w:val="left" w:pos="426"/>
              </w:tabs>
              <w:rPr>
                <w:rFonts w:ascii="Arial" w:hAnsi="Arial" w:cs="Arial"/>
                <w:b/>
                <w:bCs/>
                <w:sz w:val="20"/>
                <w:szCs w:val="20"/>
              </w:rPr>
            </w:pPr>
            <w:bookmarkStart w:id="25" w:name="RANGE!B70"/>
            <w:r w:rsidRPr="001A093C">
              <w:rPr>
                <w:rFonts w:ascii="Arial" w:hAnsi="Arial" w:cs="Arial"/>
                <w:b/>
                <w:bCs/>
                <w:sz w:val="20"/>
                <w:szCs w:val="20"/>
              </w:rPr>
              <w:t>19.    POLIZAS</w:t>
            </w:r>
            <w:bookmarkEnd w:id="25"/>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r>
      <w:tr w:rsidR="001A093C" w:rsidRPr="001A093C" w:rsidTr="001D01D9">
        <w:trPr>
          <w:trHeight w:val="1140"/>
        </w:trPr>
        <w:tc>
          <w:tcPr>
            <w:tcW w:w="4849" w:type="dxa"/>
            <w:shd w:val="clear" w:color="auto" w:fill="auto"/>
            <w:noWrap/>
            <w:vAlign w:val="center"/>
            <w:hideMark/>
          </w:tcPr>
          <w:p w:rsidR="001A093C" w:rsidRPr="001A093C" w:rsidRDefault="001A093C" w:rsidP="001A093C">
            <w:pPr>
              <w:tabs>
                <w:tab w:val="left" w:pos="426"/>
              </w:tabs>
              <w:rPr>
                <w:rFonts w:ascii="Arial" w:hAnsi="Arial" w:cs="Arial"/>
                <w:bCs/>
                <w:sz w:val="20"/>
                <w:szCs w:val="20"/>
              </w:rPr>
            </w:pPr>
            <w:r w:rsidRPr="001A093C">
              <w:rPr>
                <w:rFonts w:ascii="Arial" w:hAnsi="Arial" w:cs="Arial"/>
                <w:bCs/>
                <w:sz w:val="20"/>
                <w:szCs w:val="20"/>
              </w:rPr>
              <w:t>El oferente deberá contar con pólizas de riesgos del trabajo, asimismo tendrá que mantenerlas vigentes durante el periodo de la contratación. Para efecto de demostración de este aspecto debe adjuntar copia de las pólizas suscritas vigentes.</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SI</w:t>
            </w:r>
          </w:p>
        </w:tc>
      </w:tr>
      <w:tr w:rsidR="001A093C" w:rsidRPr="001A093C" w:rsidTr="001D01D9">
        <w:trPr>
          <w:trHeight w:val="300"/>
        </w:trPr>
        <w:tc>
          <w:tcPr>
            <w:tcW w:w="4849" w:type="dxa"/>
            <w:shd w:val="clear" w:color="auto" w:fill="auto"/>
            <w:vAlign w:val="center"/>
            <w:hideMark/>
          </w:tcPr>
          <w:p w:rsidR="001A093C" w:rsidRPr="001A093C" w:rsidRDefault="001A093C" w:rsidP="001A093C">
            <w:pPr>
              <w:tabs>
                <w:tab w:val="left" w:pos="426"/>
              </w:tabs>
              <w:rPr>
                <w:rFonts w:ascii="Arial" w:hAnsi="Arial" w:cs="Arial"/>
                <w:b/>
                <w:bCs/>
                <w:sz w:val="20"/>
                <w:szCs w:val="20"/>
              </w:rPr>
            </w:pPr>
            <w:r w:rsidRPr="001A093C">
              <w:rPr>
                <w:rFonts w:ascii="Arial" w:hAnsi="Arial" w:cs="Arial"/>
                <w:b/>
                <w:bCs/>
                <w:sz w:val="20"/>
                <w:szCs w:val="20"/>
              </w:rPr>
              <w:t>ADICIONAL</w:t>
            </w:r>
          </w:p>
        </w:tc>
        <w:tc>
          <w:tcPr>
            <w:tcW w:w="2489"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p>
        </w:tc>
        <w:tc>
          <w:tcPr>
            <w:tcW w:w="2284" w:type="dxa"/>
            <w:shd w:val="clear" w:color="auto" w:fill="auto"/>
            <w:noWrap/>
            <w:vAlign w:val="center"/>
            <w:hideMark/>
          </w:tcPr>
          <w:p w:rsidR="001A093C" w:rsidRPr="001A093C" w:rsidRDefault="001A093C" w:rsidP="001A093C">
            <w:pPr>
              <w:tabs>
                <w:tab w:val="left" w:pos="426"/>
              </w:tabs>
              <w:jc w:val="center"/>
              <w:rPr>
                <w:rFonts w:ascii="Arial" w:hAnsi="Arial" w:cs="Arial"/>
                <w:bCs/>
                <w:sz w:val="20"/>
                <w:szCs w:val="20"/>
              </w:rPr>
            </w:pPr>
            <w:r w:rsidRPr="001A093C">
              <w:rPr>
                <w:rFonts w:ascii="Arial" w:hAnsi="Arial" w:cs="Arial"/>
                <w:bCs/>
                <w:sz w:val="20"/>
                <w:szCs w:val="20"/>
              </w:rPr>
              <w:t>PYME</w:t>
            </w:r>
          </w:p>
        </w:tc>
      </w:tr>
    </w:tbl>
    <w:p w:rsidR="001A093C" w:rsidRPr="001A093C" w:rsidRDefault="001A093C" w:rsidP="001A093C">
      <w:pPr>
        <w:tabs>
          <w:tab w:val="left" w:pos="426"/>
        </w:tabs>
        <w:jc w:val="both"/>
        <w:rPr>
          <w:rFonts w:ascii="Arial" w:hAnsi="Arial" w:cs="Arial"/>
          <w:bCs/>
          <w:sz w:val="22"/>
        </w:rPr>
      </w:pP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Del análisis anterior, se determina que:</w:t>
      </w:r>
    </w:p>
    <w:p w:rsidR="001A093C" w:rsidRPr="001A093C" w:rsidRDefault="001A093C" w:rsidP="001A093C">
      <w:pPr>
        <w:tabs>
          <w:tab w:val="left" w:pos="426"/>
        </w:tabs>
        <w:ind w:left="284"/>
        <w:jc w:val="both"/>
        <w:rPr>
          <w:rFonts w:ascii="Arial" w:hAnsi="Arial" w:cs="Arial"/>
          <w:bCs/>
          <w:i/>
          <w:sz w:val="22"/>
        </w:rPr>
      </w:pP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La oferta de la empresa Caravana Internacional cumple con lo solicitado en el pliego de condiciones.</w:t>
      </w:r>
    </w:p>
    <w:p w:rsidR="001A093C" w:rsidRPr="001A093C" w:rsidRDefault="001A093C" w:rsidP="001A093C">
      <w:pPr>
        <w:tabs>
          <w:tab w:val="left" w:pos="426"/>
        </w:tabs>
        <w:ind w:left="284"/>
        <w:jc w:val="both"/>
        <w:rPr>
          <w:rFonts w:ascii="Arial" w:hAnsi="Arial" w:cs="Arial"/>
          <w:bCs/>
          <w:i/>
          <w:sz w:val="22"/>
        </w:rPr>
      </w:pP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La oferta de la empresa Viajes Ejecutivos Mundiales S.A. incumple en los siguientes aspectos:</w:t>
      </w:r>
    </w:p>
    <w:p w:rsidR="001A093C" w:rsidRPr="001A093C" w:rsidRDefault="001A093C" w:rsidP="001A093C">
      <w:pPr>
        <w:tabs>
          <w:tab w:val="left" w:pos="426"/>
        </w:tabs>
        <w:ind w:left="284"/>
        <w:jc w:val="both"/>
        <w:rPr>
          <w:rFonts w:ascii="Arial" w:hAnsi="Arial" w:cs="Arial"/>
          <w:bCs/>
          <w:i/>
          <w:sz w:val="22"/>
        </w:rPr>
      </w:pPr>
    </w:p>
    <w:p w:rsidR="001A093C" w:rsidRPr="001A093C" w:rsidRDefault="001A093C" w:rsidP="001A093C">
      <w:pPr>
        <w:numPr>
          <w:ilvl w:val="0"/>
          <w:numId w:val="19"/>
        </w:numPr>
        <w:tabs>
          <w:tab w:val="left" w:pos="426"/>
        </w:tabs>
        <w:ind w:left="709"/>
        <w:jc w:val="both"/>
        <w:rPr>
          <w:rFonts w:ascii="Arial" w:hAnsi="Arial" w:cs="Arial"/>
          <w:bCs/>
          <w:i/>
          <w:sz w:val="22"/>
        </w:rPr>
      </w:pPr>
      <w:r w:rsidRPr="001A093C">
        <w:rPr>
          <w:rFonts w:ascii="Arial" w:hAnsi="Arial" w:cs="Arial"/>
          <w:bCs/>
          <w:i/>
          <w:sz w:val="22"/>
        </w:rPr>
        <w:t xml:space="preserve">No cuenta con el sistema </w:t>
      </w:r>
      <w:proofErr w:type="spellStart"/>
      <w:r w:rsidRPr="001A093C">
        <w:rPr>
          <w:rFonts w:ascii="Arial" w:hAnsi="Arial" w:cs="Arial"/>
          <w:bCs/>
          <w:i/>
          <w:sz w:val="22"/>
        </w:rPr>
        <w:t>Travel</w:t>
      </w:r>
      <w:proofErr w:type="spellEnd"/>
      <w:r w:rsidRPr="001A093C">
        <w:rPr>
          <w:rFonts w:ascii="Arial" w:hAnsi="Arial" w:cs="Arial"/>
          <w:bCs/>
          <w:i/>
          <w:sz w:val="22"/>
        </w:rPr>
        <w:t xml:space="preserve"> Port con Galileo.</w:t>
      </w:r>
    </w:p>
    <w:p w:rsidR="001A093C" w:rsidRPr="001A093C" w:rsidRDefault="001A093C" w:rsidP="001A093C">
      <w:pPr>
        <w:tabs>
          <w:tab w:val="left" w:pos="426"/>
        </w:tabs>
        <w:ind w:left="349"/>
        <w:jc w:val="both"/>
        <w:rPr>
          <w:rFonts w:ascii="Arial" w:hAnsi="Arial" w:cs="Arial"/>
          <w:bCs/>
          <w:i/>
          <w:sz w:val="22"/>
        </w:rPr>
      </w:pPr>
    </w:p>
    <w:p w:rsidR="001A093C" w:rsidRPr="001A093C" w:rsidRDefault="001A093C" w:rsidP="001A093C">
      <w:pPr>
        <w:numPr>
          <w:ilvl w:val="0"/>
          <w:numId w:val="19"/>
        </w:numPr>
        <w:tabs>
          <w:tab w:val="left" w:pos="426"/>
        </w:tabs>
        <w:ind w:left="709"/>
        <w:jc w:val="both"/>
        <w:rPr>
          <w:rFonts w:ascii="Arial" w:hAnsi="Arial" w:cs="Arial"/>
          <w:bCs/>
          <w:i/>
          <w:sz w:val="22"/>
        </w:rPr>
      </w:pPr>
      <w:r w:rsidRPr="001A093C">
        <w:rPr>
          <w:rFonts w:ascii="Arial" w:hAnsi="Arial" w:cs="Arial"/>
          <w:bCs/>
          <w:i/>
          <w:sz w:val="22"/>
        </w:rPr>
        <w:t xml:space="preserve">El señor </w:t>
      </w:r>
      <w:proofErr w:type="spellStart"/>
      <w:r w:rsidRPr="001A093C">
        <w:rPr>
          <w:rFonts w:ascii="Arial" w:hAnsi="Arial" w:cs="Arial"/>
          <w:bCs/>
          <w:i/>
          <w:sz w:val="22"/>
        </w:rPr>
        <w:t>Ever</w:t>
      </w:r>
      <w:proofErr w:type="spellEnd"/>
      <w:r w:rsidRPr="001A093C">
        <w:rPr>
          <w:rFonts w:ascii="Arial" w:hAnsi="Arial" w:cs="Arial"/>
          <w:bCs/>
          <w:i/>
          <w:sz w:val="22"/>
        </w:rPr>
        <w:t xml:space="preserve"> </w:t>
      </w:r>
      <w:proofErr w:type="spellStart"/>
      <w:r w:rsidRPr="001A093C">
        <w:rPr>
          <w:rFonts w:ascii="Arial" w:hAnsi="Arial" w:cs="Arial"/>
          <w:bCs/>
          <w:i/>
          <w:sz w:val="22"/>
        </w:rPr>
        <w:t>Shion</w:t>
      </w:r>
      <w:proofErr w:type="spellEnd"/>
      <w:r w:rsidRPr="001A093C">
        <w:rPr>
          <w:rFonts w:ascii="Arial" w:hAnsi="Arial" w:cs="Arial"/>
          <w:bCs/>
          <w:i/>
          <w:sz w:val="22"/>
        </w:rPr>
        <w:t xml:space="preserve"> Salas no tiene clientes asignados, es el encargado de manejar los sistemas </w:t>
      </w:r>
      <w:proofErr w:type="spellStart"/>
      <w:r w:rsidRPr="001A093C">
        <w:rPr>
          <w:rFonts w:ascii="Arial" w:hAnsi="Arial" w:cs="Arial"/>
          <w:bCs/>
          <w:i/>
          <w:sz w:val="22"/>
        </w:rPr>
        <w:t>Comprared</w:t>
      </w:r>
      <w:proofErr w:type="spellEnd"/>
      <w:r w:rsidRPr="001A093C">
        <w:rPr>
          <w:rFonts w:ascii="Arial" w:hAnsi="Arial" w:cs="Arial"/>
          <w:bCs/>
          <w:i/>
          <w:sz w:val="22"/>
        </w:rPr>
        <w:t xml:space="preserve"> y </w:t>
      </w:r>
      <w:proofErr w:type="spellStart"/>
      <w:r w:rsidRPr="001A093C">
        <w:rPr>
          <w:rFonts w:ascii="Arial" w:hAnsi="Arial" w:cs="Arial"/>
          <w:bCs/>
          <w:i/>
          <w:sz w:val="22"/>
        </w:rPr>
        <w:t>Merlink</w:t>
      </w:r>
      <w:proofErr w:type="spellEnd"/>
    </w:p>
    <w:p w:rsidR="001A093C" w:rsidRPr="001A093C" w:rsidRDefault="001A093C" w:rsidP="001A093C">
      <w:pPr>
        <w:ind w:left="708"/>
        <w:rPr>
          <w:rFonts w:ascii="Arial" w:hAnsi="Arial" w:cs="Arial"/>
          <w:bCs/>
          <w:i/>
          <w:sz w:val="22"/>
        </w:rPr>
      </w:pPr>
    </w:p>
    <w:p w:rsidR="001A093C" w:rsidRPr="001A093C" w:rsidRDefault="001A093C" w:rsidP="001A093C">
      <w:pPr>
        <w:numPr>
          <w:ilvl w:val="0"/>
          <w:numId w:val="19"/>
        </w:numPr>
        <w:tabs>
          <w:tab w:val="left" w:pos="426"/>
        </w:tabs>
        <w:ind w:left="709"/>
        <w:jc w:val="both"/>
        <w:rPr>
          <w:rFonts w:ascii="Arial" w:hAnsi="Arial" w:cs="Arial"/>
          <w:bCs/>
          <w:i/>
          <w:sz w:val="22"/>
        </w:rPr>
      </w:pPr>
      <w:r w:rsidRPr="001A093C">
        <w:rPr>
          <w:rFonts w:ascii="Arial" w:hAnsi="Arial" w:cs="Arial"/>
          <w:bCs/>
          <w:i/>
          <w:sz w:val="22"/>
        </w:rPr>
        <w:t>No menciona los aspectos solicitados en el pliego de condiciones en relación con: precio del servicio, reportes, boletos, beneficios para el ITCR, Equipaje, servicios adicionales.</w:t>
      </w:r>
    </w:p>
    <w:p w:rsidR="001A093C" w:rsidRPr="001A093C" w:rsidRDefault="001A093C" w:rsidP="001A093C">
      <w:pPr>
        <w:ind w:left="708"/>
        <w:rPr>
          <w:rFonts w:ascii="Arial" w:hAnsi="Arial" w:cs="Arial"/>
          <w:bCs/>
          <w:i/>
          <w:sz w:val="22"/>
        </w:rPr>
      </w:pPr>
    </w:p>
    <w:p w:rsidR="001A093C" w:rsidRPr="001A093C" w:rsidRDefault="001A093C" w:rsidP="001A093C">
      <w:pPr>
        <w:tabs>
          <w:tab w:val="left" w:pos="426"/>
        </w:tabs>
        <w:ind w:left="709"/>
        <w:jc w:val="both"/>
        <w:rPr>
          <w:rFonts w:ascii="Arial" w:hAnsi="Arial" w:cs="Arial"/>
          <w:bCs/>
          <w:i/>
          <w:sz w:val="22"/>
        </w:rPr>
      </w:pPr>
      <w:r w:rsidRPr="001A093C">
        <w:rPr>
          <w:rFonts w:ascii="Arial" w:hAnsi="Arial" w:cs="Arial"/>
          <w:bCs/>
          <w:i/>
          <w:sz w:val="22"/>
        </w:rPr>
        <w:t>Dado lo anterior y considerando la relevancia de todos estos aspectos para ofrecer un servicio óptimo a los usuarios, esta oferta se considera no elegible.</w:t>
      </w:r>
    </w:p>
    <w:p w:rsidR="001A093C" w:rsidRPr="001A093C" w:rsidRDefault="001A093C" w:rsidP="001A093C">
      <w:pPr>
        <w:tabs>
          <w:tab w:val="left" w:pos="426"/>
        </w:tabs>
        <w:jc w:val="both"/>
        <w:rPr>
          <w:rFonts w:ascii="Arial" w:hAnsi="Arial" w:cs="Arial"/>
          <w:bCs/>
          <w:i/>
          <w:sz w:val="22"/>
        </w:rPr>
      </w:pPr>
    </w:p>
    <w:p w:rsidR="001A093C" w:rsidRPr="001A093C" w:rsidRDefault="001A093C" w:rsidP="001A093C">
      <w:pPr>
        <w:keepNext/>
        <w:numPr>
          <w:ilvl w:val="0"/>
          <w:numId w:val="16"/>
        </w:numPr>
        <w:tabs>
          <w:tab w:val="clear" w:pos="360"/>
        </w:tabs>
        <w:spacing w:before="240" w:after="60"/>
        <w:ind w:left="910"/>
        <w:jc w:val="both"/>
        <w:outlineLvl w:val="0"/>
        <w:rPr>
          <w:rFonts w:ascii="Arial" w:hAnsi="Arial" w:cs="Arial"/>
          <w:b/>
          <w:bCs/>
          <w:i/>
          <w:color w:val="1F497D"/>
          <w:kern w:val="32"/>
          <w:sz w:val="20"/>
          <w:szCs w:val="20"/>
        </w:rPr>
      </w:pPr>
      <w:r w:rsidRPr="001A093C">
        <w:rPr>
          <w:rFonts w:ascii="Arial" w:hAnsi="Arial" w:cs="Arial"/>
          <w:b/>
          <w:bCs/>
          <w:i/>
          <w:color w:val="1F497D"/>
          <w:kern w:val="32"/>
          <w:sz w:val="20"/>
          <w:szCs w:val="20"/>
        </w:rPr>
        <w:lastRenderedPageBreak/>
        <w:t>Cargo fijo por comisión</w:t>
      </w: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Aun conociendo los incumplimientos técnicos de la oferta de la empresa Viajes Ejecutivos Mundiales S.A., se realiza un análisis del precio ofertado por ambas empresas:</w:t>
      </w:r>
    </w:p>
    <w:p w:rsidR="001A093C" w:rsidRPr="001A093C" w:rsidRDefault="001A093C" w:rsidP="001A093C">
      <w:pPr>
        <w:jc w:val="both"/>
        <w:rPr>
          <w:rFonts w:ascii="Arial" w:hAnsi="Arial" w:cs="Arial"/>
          <w:bCs/>
          <w:sz w:val="22"/>
        </w:rPr>
      </w:pPr>
    </w:p>
    <w:tbl>
      <w:tblPr>
        <w:tblW w:w="8365" w:type="dxa"/>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CellMar>
          <w:left w:w="70" w:type="dxa"/>
          <w:right w:w="70" w:type="dxa"/>
        </w:tblCellMar>
        <w:tblLook w:val="0000" w:firstRow="0" w:lastRow="0" w:firstColumn="0" w:lastColumn="0" w:noHBand="0" w:noVBand="0"/>
      </w:tblPr>
      <w:tblGrid>
        <w:gridCol w:w="2979"/>
        <w:gridCol w:w="2693"/>
        <w:gridCol w:w="2693"/>
      </w:tblGrid>
      <w:tr w:rsidR="001A093C" w:rsidRPr="001A093C" w:rsidTr="001D01D9">
        <w:trPr>
          <w:trHeight w:val="567"/>
          <w:jc w:val="center"/>
        </w:trPr>
        <w:tc>
          <w:tcPr>
            <w:tcW w:w="2979" w:type="dxa"/>
            <w:vAlign w:val="center"/>
          </w:tcPr>
          <w:p w:rsidR="001A093C" w:rsidRPr="001A093C" w:rsidRDefault="001A093C" w:rsidP="001A093C">
            <w:pPr>
              <w:jc w:val="center"/>
              <w:rPr>
                <w:rFonts w:ascii="Arial" w:hAnsi="Arial" w:cs="Arial"/>
                <w:b/>
                <w:sz w:val="18"/>
                <w:szCs w:val="18"/>
              </w:rPr>
            </w:pPr>
            <w:r w:rsidRPr="001A093C">
              <w:rPr>
                <w:rFonts w:ascii="Arial" w:hAnsi="Arial" w:cs="Arial"/>
                <w:b/>
                <w:sz w:val="18"/>
                <w:szCs w:val="18"/>
              </w:rPr>
              <w:t>Nombre del Oferente</w:t>
            </w:r>
          </w:p>
        </w:tc>
        <w:tc>
          <w:tcPr>
            <w:tcW w:w="2693" w:type="dxa"/>
            <w:shd w:val="clear" w:color="auto" w:fill="auto"/>
            <w:vAlign w:val="center"/>
          </w:tcPr>
          <w:p w:rsidR="001A093C" w:rsidRPr="001A093C" w:rsidRDefault="001A093C" w:rsidP="001A093C">
            <w:pPr>
              <w:tabs>
                <w:tab w:val="left" w:pos="426"/>
              </w:tabs>
              <w:jc w:val="center"/>
              <w:rPr>
                <w:rFonts w:ascii="Arial" w:hAnsi="Arial" w:cs="Arial"/>
                <w:b/>
                <w:bCs/>
                <w:sz w:val="20"/>
                <w:szCs w:val="20"/>
              </w:rPr>
            </w:pPr>
            <w:r w:rsidRPr="001A093C">
              <w:rPr>
                <w:rFonts w:ascii="Arial" w:hAnsi="Arial" w:cs="Arial"/>
                <w:b/>
                <w:bCs/>
                <w:sz w:val="20"/>
                <w:szCs w:val="20"/>
              </w:rPr>
              <w:t>Viajes Ejecutivos Mundiales S.A.</w:t>
            </w:r>
          </w:p>
        </w:tc>
        <w:tc>
          <w:tcPr>
            <w:tcW w:w="2693" w:type="dxa"/>
            <w:vAlign w:val="center"/>
          </w:tcPr>
          <w:p w:rsidR="001A093C" w:rsidRPr="001A093C" w:rsidRDefault="001A093C" w:rsidP="001A093C">
            <w:pPr>
              <w:tabs>
                <w:tab w:val="left" w:pos="426"/>
              </w:tabs>
              <w:jc w:val="center"/>
              <w:rPr>
                <w:rFonts w:ascii="Arial" w:hAnsi="Arial" w:cs="Arial"/>
                <w:b/>
                <w:bCs/>
                <w:sz w:val="20"/>
                <w:szCs w:val="20"/>
              </w:rPr>
            </w:pPr>
            <w:r w:rsidRPr="001A093C">
              <w:rPr>
                <w:rFonts w:ascii="Arial" w:hAnsi="Arial" w:cs="Arial"/>
                <w:b/>
                <w:bCs/>
                <w:sz w:val="20"/>
                <w:szCs w:val="20"/>
              </w:rPr>
              <w:t>Caravana Internacional S.A.</w:t>
            </w:r>
          </w:p>
        </w:tc>
      </w:tr>
      <w:tr w:rsidR="001A093C" w:rsidRPr="001A093C" w:rsidTr="001D01D9">
        <w:trPr>
          <w:trHeight w:val="567"/>
          <w:jc w:val="center"/>
        </w:trPr>
        <w:tc>
          <w:tcPr>
            <w:tcW w:w="2979" w:type="dxa"/>
            <w:shd w:val="clear" w:color="auto" w:fill="auto"/>
            <w:vAlign w:val="center"/>
          </w:tcPr>
          <w:p w:rsidR="001A093C" w:rsidRPr="001A093C" w:rsidRDefault="001A093C" w:rsidP="001A093C">
            <w:pPr>
              <w:rPr>
                <w:rFonts w:ascii="Arial" w:hAnsi="Arial" w:cs="Arial"/>
                <w:sz w:val="18"/>
                <w:szCs w:val="18"/>
              </w:rPr>
            </w:pPr>
            <w:r w:rsidRPr="001A093C">
              <w:rPr>
                <w:rFonts w:ascii="Arial" w:hAnsi="Arial" w:cs="Arial"/>
                <w:sz w:val="18"/>
                <w:szCs w:val="18"/>
              </w:rPr>
              <w:t>Cargo fijo por comisión</w:t>
            </w:r>
          </w:p>
        </w:tc>
        <w:tc>
          <w:tcPr>
            <w:tcW w:w="2693" w:type="dxa"/>
            <w:shd w:val="clear" w:color="auto" w:fill="auto"/>
            <w:vAlign w:val="center"/>
          </w:tcPr>
          <w:p w:rsidR="001A093C" w:rsidRPr="001A093C" w:rsidRDefault="001A093C" w:rsidP="001A093C">
            <w:pPr>
              <w:jc w:val="center"/>
              <w:rPr>
                <w:rFonts w:ascii="Arial" w:hAnsi="Arial" w:cs="Arial"/>
                <w:sz w:val="18"/>
                <w:szCs w:val="18"/>
              </w:rPr>
            </w:pPr>
            <w:r w:rsidRPr="001A093C">
              <w:rPr>
                <w:rFonts w:ascii="Arial" w:hAnsi="Arial" w:cs="Arial"/>
                <w:sz w:val="18"/>
                <w:szCs w:val="18"/>
              </w:rPr>
              <w:t>0</w:t>
            </w:r>
          </w:p>
        </w:tc>
        <w:tc>
          <w:tcPr>
            <w:tcW w:w="2693" w:type="dxa"/>
            <w:vAlign w:val="center"/>
          </w:tcPr>
          <w:p w:rsidR="001A093C" w:rsidRPr="001A093C" w:rsidRDefault="001A093C" w:rsidP="001A093C">
            <w:pPr>
              <w:jc w:val="center"/>
              <w:rPr>
                <w:rFonts w:ascii="Arial" w:hAnsi="Arial" w:cs="Arial"/>
                <w:sz w:val="18"/>
                <w:szCs w:val="18"/>
              </w:rPr>
            </w:pPr>
            <w:r w:rsidRPr="001A093C">
              <w:rPr>
                <w:rFonts w:ascii="Arial" w:hAnsi="Arial" w:cs="Arial"/>
                <w:sz w:val="18"/>
                <w:szCs w:val="18"/>
              </w:rPr>
              <w:t>$12.00</w:t>
            </w:r>
          </w:p>
        </w:tc>
      </w:tr>
      <w:tr w:rsidR="001A093C" w:rsidRPr="001A093C" w:rsidTr="001D01D9">
        <w:trPr>
          <w:trHeight w:val="567"/>
          <w:jc w:val="center"/>
        </w:trPr>
        <w:tc>
          <w:tcPr>
            <w:tcW w:w="2979" w:type="dxa"/>
            <w:shd w:val="clear" w:color="auto" w:fill="auto"/>
            <w:vAlign w:val="center"/>
          </w:tcPr>
          <w:p w:rsidR="001A093C" w:rsidRPr="001A093C" w:rsidRDefault="001A093C" w:rsidP="001A093C">
            <w:pPr>
              <w:rPr>
                <w:rFonts w:ascii="Arial" w:hAnsi="Arial" w:cs="Arial"/>
                <w:sz w:val="18"/>
                <w:szCs w:val="18"/>
              </w:rPr>
            </w:pPr>
            <w:r w:rsidRPr="001A093C">
              <w:rPr>
                <w:rFonts w:ascii="Arial" w:hAnsi="Arial" w:cs="Arial"/>
                <w:sz w:val="18"/>
                <w:szCs w:val="18"/>
              </w:rPr>
              <w:t>Porcentaje asignado</w:t>
            </w:r>
          </w:p>
        </w:tc>
        <w:tc>
          <w:tcPr>
            <w:tcW w:w="2693" w:type="dxa"/>
            <w:shd w:val="clear" w:color="auto" w:fill="auto"/>
            <w:vAlign w:val="center"/>
          </w:tcPr>
          <w:p w:rsidR="001A093C" w:rsidRPr="001A093C" w:rsidRDefault="001A093C" w:rsidP="001A093C">
            <w:pPr>
              <w:jc w:val="center"/>
              <w:rPr>
                <w:rFonts w:ascii="Arial" w:hAnsi="Arial" w:cs="Arial"/>
                <w:sz w:val="18"/>
                <w:szCs w:val="18"/>
              </w:rPr>
            </w:pPr>
            <w:r w:rsidRPr="001A093C">
              <w:rPr>
                <w:rFonts w:ascii="Arial" w:hAnsi="Arial" w:cs="Arial"/>
                <w:sz w:val="18"/>
                <w:szCs w:val="18"/>
              </w:rPr>
              <w:t>0%</w:t>
            </w:r>
          </w:p>
        </w:tc>
        <w:tc>
          <w:tcPr>
            <w:tcW w:w="2693" w:type="dxa"/>
            <w:vAlign w:val="center"/>
          </w:tcPr>
          <w:p w:rsidR="001A093C" w:rsidRPr="001A093C" w:rsidRDefault="001A093C" w:rsidP="001A093C">
            <w:pPr>
              <w:jc w:val="center"/>
              <w:rPr>
                <w:rFonts w:ascii="Arial" w:hAnsi="Arial" w:cs="Arial"/>
                <w:sz w:val="18"/>
                <w:szCs w:val="18"/>
              </w:rPr>
            </w:pPr>
            <w:r w:rsidRPr="001A093C">
              <w:rPr>
                <w:rFonts w:ascii="Arial" w:hAnsi="Arial" w:cs="Arial"/>
                <w:sz w:val="18"/>
                <w:szCs w:val="18"/>
              </w:rPr>
              <w:t>75%</w:t>
            </w:r>
          </w:p>
        </w:tc>
      </w:tr>
    </w:tbl>
    <w:p w:rsidR="001A093C" w:rsidRPr="001A093C" w:rsidRDefault="001A093C" w:rsidP="001A093C">
      <w:pPr>
        <w:ind w:firstLine="708"/>
        <w:jc w:val="both"/>
        <w:rPr>
          <w:rFonts w:ascii="Arial" w:hAnsi="Arial" w:cs="Arial"/>
          <w:sz w:val="20"/>
        </w:rPr>
      </w:pPr>
      <w:r w:rsidRPr="001A093C">
        <w:rPr>
          <w:rFonts w:ascii="Arial" w:hAnsi="Arial" w:cs="Arial"/>
          <w:bCs/>
          <w:sz w:val="22"/>
        </w:rPr>
        <w:tab/>
      </w: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El Reglamento a la Ley de Contratación Administrativa señala:</w:t>
      </w:r>
    </w:p>
    <w:p w:rsidR="001A093C" w:rsidRPr="001A093C" w:rsidRDefault="001A093C" w:rsidP="001A093C">
      <w:pPr>
        <w:widowControl w:val="0"/>
        <w:adjustRightInd w:val="0"/>
        <w:spacing w:before="100" w:beforeAutospacing="1" w:after="100" w:afterAutospacing="1"/>
        <w:ind w:left="397" w:right="397"/>
        <w:jc w:val="both"/>
        <w:rPr>
          <w:rFonts w:ascii="Arial" w:hAnsi="Arial" w:cs="Arial"/>
          <w:i/>
          <w:color w:val="000000"/>
          <w:sz w:val="20"/>
          <w:szCs w:val="20"/>
          <w:lang w:eastAsia="en-US"/>
        </w:rPr>
      </w:pPr>
      <w:r w:rsidRPr="001A093C">
        <w:rPr>
          <w:rFonts w:ascii="Arial" w:hAnsi="Arial" w:cs="Arial"/>
          <w:i/>
          <w:color w:val="000000"/>
          <w:sz w:val="20"/>
          <w:szCs w:val="20"/>
          <w:lang w:eastAsia="en-US"/>
        </w:rPr>
        <w:t xml:space="preserve">Artículo </w:t>
      </w:r>
      <w:proofErr w:type="gramStart"/>
      <w:r w:rsidRPr="001A093C">
        <w:rPr>
          <w:rFonts w:ascii="Arial" w:hAnsi="Arial" w:cs="Arial"/>
          <w:i/>
          <w:color w:val="000000"/>
          <w:sz w:val="20"/>
          <w:szCs w:val="20"/>
          <w:lang w:eastAsia="en-US"/>
        </w:rPr>
        <w:t>30.—</w:t>
      </w:r>
      <w:proofErr w:type="gramEnd"/>
      <w:r w:rsidRPr="001A093C">
        <w:rPr>
          <w:rFonts w:ascii="Arial" w:hAnsi="Arial" w:cs="Arial"/>
          <w:b/>
          <w:bCs/>
          <w:i/>
          <w:color w:val="000000"/>
          <w:sz w:val="20"/>
          <w:szCs w:val="20"/>
          <w:lang w:eastAsia="en-US"/>
        </w:rPr>
        <w:t>Precio inaceptable</w:t>
      </w:r>
      <w:r w:rsidRPr="001A093C">
        <w:rPr>
          <w:rFonts w:ascii="Arial" w:hAnsi="Arial" w:cs="Arial"/>
          <w:i/>
          <w:color w:val="000000"/>
          <w:sz w:val="20"/>
          <w:szCs w:val="20"/>
          <w:lang w:eastAsia="en-US"/>
        </w:rPr>
        <w:t>. Se estimarán inaceptables y en consecuencia motivo de exclusión de la oferta que los contenga, los siguientes precios: </w:t>
      </w:r>
    </w:p>
    <w:p w:rsidR="001A093C" w:rsidRPr="001A093C" w:rsidRDefault="001A093C" w:rsidP="001A093C">
      <w:pPr>
        <w:numPr>
          <w:ilvl w:val="0"/>
          <w:numId w:val="21"/>
        </w:numPr>
        <w:ind w:left="1134" w:right="397"/>
        <w:jc w:val="both"/>
        <w:rPr>
          <w:rFonts w:ascii="Arial" w:hAnsi="Arial" w:cs="Arial"/>
          <w:i/>
          <w:color w:val="000000"/>
          <w:sz w:val="20"/>
          <w:szCs w:val="20"/>
          <w:lang w:eastAsia="en-US"/>
        </w:rPr>
      </w:pPr>
      <w:r w:rsidRPr="001A093C">
        <w:rPr>
          <w:rFonts w:ascii="Arial" w:hAnsi="Arial" w:cs="Arial"/>
          <w:i/>
          <w:color w:val="000000"/>
          <w:sz w:val="20"/>
          <w:szCs w:val="20"/>
          <w:lang w:eastAsia="en-US"/>
        </w:rPr>
        <w:t>Ruinoso o no remunerativo para el oferente, que dé lugar a presumir el incumplimiento por parte de éste de las obligaciones financieras por insuficiencia de la retribución establecida.</w:t>
      </w:r>
    </w:p>
    <w:p w:rsidR="001A093C" w:rsidRPr="001A093C" w:rsidRDefault="001A093C" w:rsidP="001A093C">
      <w:pPr>
        <w:ind w:left="1134" w:right="397"/>
        <w:jc w:val="both"/>
        <w:rPr>
          <w:rFonts w:ascii="Arial" w:hAnsi="Arial" w:cs="Arial"/>
          <w:color w:val="000000"/>
          <w:sz w:val="20"/>
          <w:szCs w:val="20"/>
          <w:lang w:eastAsia="en-US"/>
        </w:rPr>
      </w:pPr>
    </w:p>
    <w:p w:rsidR="001A093C" w:rsidRPr="001A093C" w:rsidRDefault="001A093C" w:rsidP="001A093C">
      <w:pPr>
        <w:tabs>
          <w:tab w:val="left" w:pos="426"/>
        </w:tabs>
        <w:ind w:left="284"/>
        <w:jc w:val="both"/>
        <w:rPr>
          <w:rFonts w:ascii="Arial" w:hAnsi="Arial" w:cs="Arial"/>
          <w:bCs/>
          <w:i/>
          <w:sz w:val="22"/>
        </w:rPr>
      </w:pPr>
      <w:r w:rsidRPr="001A093C">
        <w:rPr>
          <w:rFonts w:ascii="Arial" w:hAnsi="Arial" w:cs="Arial"/>
          <w:bCs/>
          <w:i/>
          <w:sz w:val="22"/>
        </w:rPr>
        <w:t>Dado lo anterior, se reitera que la oferta de la empresa Viajes Ejecutivos Mundiales S.A. debe ser excluida.</w:t>
      </w:r>
    </w:p>
    <w:p w:rsidR="001A093C" w:rsidRPr="001A093C" w:rsidRDefault="001A093C" w:rsidP="001A093C">
      <w:pPr>
        <w:keepNext/>
        <w:numPr>
          <w:ilvl w:val="0"/>
          <w:numId w:val="16"/>
        </w:numPr>
        <w:tabs>
          <w:tab w:val="clear" w:pos="360"/>
        </w:tabs>
        <w:spacing w:before="240" w:after="60"/>
        <w:ind w:left="910"/>
        <w:jc w:val="both"/>
        <w:outlineLvl w:val="0"/>
        <w:rPr>
          <w:rFonts w:ascii="Arial" w:hAnsi="Arial" w:cs="Arial"/>
          <w:b/>
          <w:bCs/>
          <w:i/>
          <w:color w:val="1F497D"/>
          <w:kern w:val="32"/>
          <w:sz w:val="20"/>
          <w:szCs w:val="20"/>
        </w:rPr>
      </w:pPr>
      <w:r w:rsidRPr="001A093C">
        <w:rPr>
          <w:rFonts w:ascii="Arial" w:hAnsi="Arial" w:cs="Arial"/>
          <w:b/>
          <w:bCs/>
          <w:i/>
          <w:color w:val="1F497D"/>
          <w:kern w:val="32"/>
          <w:sz w:val="20"/>
          <w:szCs w:val="20"/>
        </w:rPr>
        <w:t>Experiencia con empresas</w:t>
      </w:r>
    </w:p>
    <w:p w:rsidR="001A093C" w:rsidRPr="001A093C" w:rsidRDefault="001A093C" w:rsidP="001A093C">
      <w:pPr>
        <w:jc w:val="both"/>
        <w:rPr>
          <w:rFonts w:ascii="Arial" w:hAnsi="Arial" w:cs="Arial"/>
          <w:bCs/>
          <w:sz w:val="22"/>
          <w:szCs w:val="22"/>
        </w:rPr>
      </w:pPr>
      <w:r w:rsidRPr="001A093C">
        <w:rPr>
          <w:rFonts w:ascii="Arial" w:hAnsi="Arial" w:cs="Arial"/>
          <w:bCs/>
          <w:sz w:val="22"/>
          <w:szCs w:val="22"/>
        </w:rPr>
        <w:t>La empresa Caravana Internacional S.A., presenta 14 certificaciones de experiencia y obtiene un 25% en este rubro:</w:t>
      </w:r>
    </w:p>
    <w:p w:rsidR="001A093C" w:rsidRPr="001A093C" w:rsidRDefault="001A093C" w:rsidP="001A093C">
      <w:pPr>
        <w:jc w:val="center"/>
        <w:rPr>
          <w:rFonts w:ascii="Arial" w:hAnsi="Arial" w:cs="Arial"/>
          <w:bCs/>
          <w:sz w:val="22"/>
        </w:rPr>
      </w:pPr>
    </w:p>
    <w:p w:rsidR="001A093C" w:rsidRPr="001A093C" w:rsidRDefault="001A093C" w:rsidP="001A093C">
      <w:pPr>
        <w:jc w:val="center"/>
        <w:rPr>
          <w:rFonts w:ascii="Arial" w:hAnsi="Arial" w:cs="Arial"/>
          <w:bCs/>
          <w:sz w:val="22"/>
        </w:rPr>
      </w:pPr>
    </w:p>
    <w:tbl>
      <w:tblPr>
        <w:tblW w:w="5670" w:type="dxa"/>
        <w:tblInd w:w="155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268"/>
        <w:gridCol w:w="3402"/>
      </w:tblGrid>
      <w:tr w:rsidR="001A093C" w:rsidRPr="001A093C" w:rsidTr="001D01D9">
        <w:trPr>
          <w:trHeight w:val="248"/>
        </w:trPr>
        <w:tc>
          <w:tcPr>
            <w:tcW w:w="5670" w:type="dxa"/>
            <w:gridSpan w:val="2"/>
            <w:tcBorders>
              <w:bottom w:val="single" w:sz="18" w:space="0" w:color="BDD6EE"/>
            </w:tcBorders>
            <w:shd w:val="clear" w:color="auto" w:fill="auto"/>
            <w:vAlign w:val="center"/>
          </w:tcPr>
          <w:p w:rsidR="001A093C" w:rsidRPr="001A093C" w:rsidRDefault="001A093C" w:rsidP="001A093C">
            <w:pPr>
              <w:tabs>
                <w:tab w:val="left" w:pos="426"/>
              </w:tabs>
              <w:jc w:val="center"/>
              <w:rPr>
                <w:rFonts w:ascii="Arial" w:hAnsi="Arial" w:cs="Arial"/>
                <w:b/>
                <w:bCs/>
                <w:sz w:val="22"/>
                <w:szCs w:val="22"/>
              </w:rPr>
            </w:pPr>
            <w:r w:rsidRPr="001A093C">
              <w:rPr>
                <w:rFonts w:ascii="Arial" w:hAnsi="Arial" w:cs="Arial"/>
                <w:b/>
                <w:bCs/>
                <w:sz w:val="22"/>
                <w:szCs w:val="22"/>
              </w:rPr>
              <w:t>Caravana Internacional S.A.</w:t>
            </w:r>
          </w:p>
          <w:p w:rsidR="001A093C" w:rsidRPr="001A093C" w:rsidRDefault="001A093C" w:rsidP="001A093C">
            <w:pPr>
              <w:tabs>
                <w:tab w:val="left" w:pos="426"/>
              </w:tabs>
              <w:jc w:val="center"/>
              <w:rPr>
                <w:rFonts w:ascii="Arial" w:hAnsi="Arial" w:cs="Arial"/>
                <w:b/>
                <w:bCs/>
                <w:sz w:val="22"/>
                <w:szCs w:val="22"/>
              </w:rPr>
            </w:pPr>
          </w:p>
        </w:tc>
      </w:tr>
      <w:tr w:rsidR="001A093C" w:rsidRPr="001A093C" w:rsidTr="001D01D9">
        <w:trPr>
          <w:trHeight w:val="248"/>
        </w:trPr>
        <w:tc>
          <w:tcPr>
            <w:tcW w:w="2268" w:type="dxa"/>
            <w:tcBorders>
              <w:top w:val="single" w:sz="18" w:space="0" w:color="BDD6EE"/>
            </w:tcBorders>
            <w:shd w:val="clear" w:color="auto" w:fill="auto"/>
          </w:tcPr>
          <w:p w:rsidR="001A093C" w:rsidRPr="001A093C" w:rsidRDefault="001A093C" w:rsidP="001A093C">
            <w:pPr>
              <w:jc w:val="center"/>
              <w:rPr>
                <w:rFonts w:ascii="Arial" w:hAnsi="Arial" w:cs="Arial"/>
                <w:i/>
                <w:sz w:val="22"/>
                <w:szCs w:val="22"/>
              </w:rPr>
            </w:pPr>
            <w:r w:rsidRPr="001A093C">
              <w:rPr>
                <w:rFonts w:ascii="Arial" w:hAnsi="Arial" w:cs="Arial"/>
                <w:i/>
                <w:sz w:val="22"/>
                <w:szCs w:val="22"/>
              </w:rPr>
              <w:t>Porcentaje asignado</w:t>
            </w:r>
          </w:p>
        </w:tc>
        <w:tc>
          <w:tcPr>
            <w:tcW w:w="3402" w:type="dxa"/>
            <w:tcBorders>
              <w:top w:val="single" w:sz="18" w:space="0" w:color="BDD6EE"/>
            </w:tcBorders>
            <w:shd w:val="clear" w:color="auto" w:fill="auto"/>
            <w:vAlign w:val="center"/>
          </w:tcPr>
          <w:p w:rsidR="001A093C" w:rsidRPr="001A093C" w:rsidRDefault="001A093C" w:rsidP="001A093C">
            <w:pPr>
              <w:jc w:val="center"/>
              <w:rPr>
                <w:rFonts w:ascii="Arial" w:hAnsi="Arial" w:cs="Arial"/>
                <w:i/>
                <w:sz w:val="22"/>
                <w:szCs w:val="22"/>
              </w:rPr>
            </w:pPr>
            <w:r w:rsidRPr="001A093C">
              <w:rPr>
                <w:rFonts w:ascii="Arial" w:hAnsi="Arial" w:cs="Arial"/>
                <w:i/>
                <w:sz w:val="22"/>
                <w:szCs w:val="22"/>
              </w:rPr>
              <w:t>25%</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i/>
                <w:color w:val="000000"/>
                <w:sz w:val="22"/>
                <w:szCs w:val="22"/>
                <w:lang w:val="es-CR" w:eastAsia="es-CR"/>
              </w:rPr>
            </w:pPr>
          </w:p>
        </w:tc>
        <w:tc>
          <w:tcPr>
            <w:tcW w:w="3402" w:type="dxa"/>
            <w:shd w:val="clear" w:color="auto" w:fill="auto"/>
            <w:vAlign w:val="center"/>
          </w:tcPr>
          <w:p w:rsidR="001A093C" w:rsidRPr="001A093C" w:rsidRDefault="001A093C" w:rsidP="001A093C">
            <w:pPr>
              <w:jc w:val="center"/>
              <w:rPr>
                <w:rFonts w:ascii="Arial" w:hAnsi="Arial" w:cs="Arial"/>
                <w:i/>
                <w:color w:val="000000"/>
                <w:sz w:val="22"/>
                <w:szCs w:val="22"/>
                <w:lang w:val="es-CR" w:eastAsia="es-CR"/>
              </w:rPr>
            </w:pPr>
            <w:r w:rsidRPr="001A093C">
              <w:rPr>
                <w:rFonts w:ascii="Arial" w:hAnsi="Arial" w:cs="Arial"/>
                <w:i/>
                <w:color w:val="000000"/>
                <w:sz w:val="22"/>
                <w:szCs w:val="22"/>
              </w:rPr>
              <w:t>UNA</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i/>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i/>
                <w:color w:val="000000"/>
                <w:sz w:val="22"/>
                <w:szCs w:val="22"/>
              </w:rPr>
            </w:pPr>
            <w:r w:rsidRPr="001A093C">
              <w:rPr>
                <w:rFonts w:ascii="Arial" w:hAnsi="Arial" w:cs="Arial"/>
                <w:i/>
                <w:color w:val="000000"/>
                <w:sz w:val="22"/>
                <w:szCs w:val="22"/>
              </w:rPr>
              <w:t>BCCR</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i/>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i/>
                <w:color w:val="000000"/>
                <w:sz w:val="22"/>
                <w:szCs w:val="22"/>
              </w:rPr>
            </w:pPr>
            <w:r w:rsidRPr="001A093C">
              <w:rPr>
                <w:rFonts w:ascii="Arial" w:hAnsi="Arial" w:cs="Arial"/>
                <w:i/>
                <w:color w:val="000000"/>
                <w:sz w:val="22"/>
                <w:szCs w:val="22"/>
              </w:rPr>
              <w:t>Ministerio Relaciones Exteriores</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ECI Telecom Costa Rica S.A.</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proofErr w:type="spellStart"/>
            <w:r w:rsidRPr="001A093C">
              <w:rPr>
                <w:rFonts w:ascii="Arial" w:hAnsi="Arial" w:cs="Arial"/>
                <w:color w:val="000000"/>
                <w:sz w:val="22"/>
                <w:szCs w:val="22"/>
              </w:rPr>
              <w:t>Unimer</w:t>
            </w:r>
            <w:proofErr w:type="spellEnd"/>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Instituto Internacional de Recursos Genéticos</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Teatro Nacional</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Popular Pensiones S.A.</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proofErr w:type="spellStart"/>
            <w:r w:rsidRPr="001A093C">
              <w:rPr>
                <w:rFonts w:ascii="Arial" w:hAnsi="Arial" w:cs="Arial"/>
                <w:color w:val="000000"/>
                <w:sz w:val="22"/>
                <w:szCs w:val="22"/>
              </w:rPr>
              <w:t>Incofer</w:t>
            </w:r>
            <w:proofErr w:type="spellEnd"/>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Ministerio Hacienda</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TSE</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Ministerio Cultura</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r w:rsidRPr="001A093C">
              <w:rPr>
                <w:rFonts w:ascii="Arial" w:hAnsi="Arial" w:cs="Arial"/>
                <w:color w:val="000000"/>
                <w:sz w:val="22"/>
                <w:szCs w:val="22"/>
              </w:rPr>
              <w:t>INS</w:t>
            </w:r>
          </w:p>
        </w:tc>
      </w:tr>
      <w:tr w:rsidR="001A093C" w:rsidRPr="001A093C" w:rsidTr="001D01D9">
        <w:trPr>
          <w:trHeight w:val="248"/>
        </w:trPr>
        <w:tc>
          <w:tcPr>
            <w:tcW w:w="2268" w:type="dxa"/>
            <w:shd w:val="clear" w:color="auto" w:fill="auto"/>
            <w:vAlign w:val="center"/>
          </w:tcPr>
          <w:p w:rsidR="001A093C" w:rsidRPr="001A093C" w:rsidRDefault="001A093C" w:rsidP="001A093C">
            <w:pPr>
              <w:numPr>
                <w:ilvl w:val="0"/>
                <w:numId w:val="22"/>
              </w:numPr>
              <w:jc w:val="center"/>
              <w:rPr>
                <w:rFonts w:ascii="Arial" w:hAnsi="Arial" w:cs="Arial"/>
                <w:color w:val="000000"/>
                <w:sz w:val="22"/>
                <w:szCs w:val="22"/>
              </w:rPr>
            </w:pPr>
          </w:p>
        </w:tc>
        <w:tc>
          <w:tcPr>
            <w:tcW w:w="3402" w:type="dxa"/>
            <w:shd w:val="clear" w:color="auto" w:fill="auto"/>
            <w:vAlign w:val="center"/>
          </w:tcPr>
          <w:p w:rsidR="001A093C" w:rsidRPr="001A093C" w:rsidRDefault="001A093C" w:rsidP="001A093C">
            <w:pPr>
              <w:jc w:val="center"/>
              <w:rPr>
                <w:rFonts w:ascii="Arial" w:hAnsi="Arial" w:cs="Arial"/>
                <w:color w:val="000000"/>
                <w:sz w:val="22"/>
                <w:szCs w:val="22"/>
              </w:rPr>
            </w:pPr>
            <w:proofErr w:type="spellStart"/>
            <w:r w:rsidRPr="001A093C">
              <w:rPr>
                <w:rFonts w:ascii="Arial" w:hAnsi="Arial" w:cs="Arial"/>
                <w:color w:val="000000"/>
                <w:sz w:val="22"/>
                <w:szCs w:val="22"/>
              </w:rPr>
              <w:t>Desca</w:t>
            </w:r>
            <w:proofErr w:type="spellEnd"/>
          </w:p>
        </w:tc>
      </w:tr>
    </w:tbl>
    <w:p w:rsidR="001A093C" w:rsidRPr="001A093C" w:rsidRDefault="001A093C" w:rsidP="001A093C">
      <w:pPr>
        <w:rPr>
          <w:rFonts w:ascii="Arial" w:hAnsi="Arial" w:cs="Arial"/>
          <w:bCs/>
          <w:sz w:val="22"/>
          <w:szCs w:val="22"/>
        </w:rPr>
      </w:pPr>
    </w:p>
    <w:p w:rsidR="001A093C" w:rsidRPr="001A093C" w:rsidRDefault="001A093C" w:rsidP="001A093C">
      <w:pPr>
        <w:rPr>
          <w:rFonts w:ascii="Arial" w:hAnsi="Arial" w:cs="Arial"/>
          <w:bCs/>
          <w:sz w:val="22"/>
          <w:szCs w:val="22"/>
        </w:rPr>
      </w:pPr>
    </w:p>
    <w:p w:rsidR="001A093C" w:rsidRPr="001A093C" w:rsidRDefault="001A093C" w:rsidP="001A093C">
      <w:pPr>
        <w:rPr>
          <w:rFonts w:ascii="Arial" w:hAnsi="Arial" w:cs="Arial"/>
          <w:bCs/>
          <w:sz w:val="22"/>
          <w:szCs w:val="22"/>
        </w:rPr>
      </w:pPr>
    </w:p>
    <w:p w:rsidR="001A093C" w:rsidRPr="001A093C" w:rsidRDefault="001A093C" w:rsidP="001A093C">
      <w:pPr>
        <w:rPr>
          <w:rFonts w:ascii="Arial" w:hAnsi="Arial" w:cs="Arial"/>
          <w:bCs/>
          <w:sz w:val="22"/>
          <w:szCs w:val="22"/>
        </w:rPr>
      </w:pPr>
    </w:p>
    <w:p w:rsidR="001A093C" w:rsidRPr="001A093C" w:rsidRDefault="001A093C" w:rsidP="001A093C">
      <w:pPr>
        <w:rPr>
          <w:rFonts w:ascii="Arial" w:hAnsi="Arial" w:cs="Arial"/>
          <w:bCs/>
          <w:sz w:val="22"/>
          <w:szCs w:val="22"/>
        </w:rPr>
      </w:pPr>
    </w:p>
    <w:p w:rsidR="001A093C" w:rsidRPr="001A093C" w:rsidRDefault="001A093C" w:rsidP="001A093C">
      <w:pPr>
        <w:keepNext/>
        <w:numPr>
          <w:ilvl w:val="0"/>
          <w:numId w:val="16"/>
        </w:numPr>
        <w:tabs>
          <w:tab w:val="clear" w:pos="360"/>
        </w:tabs>
        <w:spacing w:before="240" w:after="60"/>
        <w:ind w:left="910"/>
        <w:jc w:val="both"/>
        <w:outlineLvl w:val="0"/>
        <w:rPr>
          <w:rFonts w:ascii="Arial" w:hAnsi="Arial" w:cs="Arial"/>
          <w:b/>
          <w:bCs/>
          <w:i/>
          <w:color w:val="1F497D"/>
          <w:kern w:val="32"/>
          <w:sz w:val="20"/>
          <w:szCs w:val="20"/>
        </w:rPr>
      </w:pPr>
      <w:r w:rsidRPr="001A093C">
        <w:rPr>
          <w:rFonts w:ascii="Arial" w:hAnsi="Arial" w:cs="Arial"/>
          <w:b/>
          <w:bCs/>
          <w:i/>
          <w:color w:val="1F497D"/>
          <w:kern w:val="32"/>
          <w:sz w:val="20"/>
          <w:szCs w:val="20"/>
        </w:rPr>
        <w:lastRenderedPageBreak/>
        <w:t>Suma de los factores</w:t>
      </w:r>
    </w:p>
    <w:p w:rsidR="001A093C" w:rsidRPr="001A093C" w:rsidRDefault="001A093C" w:rsidP="001A093C"/>
    <w:p w:rsidR="001A093C" w:rsidRPr="001A093C" w:rsidRDefault="001A093C" w:rsidP="001A093C">
      <w:pPr>
        <w:ind w:left="454" w:right="454"/>
        <w:jc w:val="both"/>
        <w:rPr>
          <w:rFonts w:ascii="Arial" w:hAnsi="Arial" w:cs="Arial"/>
          <w:i/>
          <w:sz w:val="22"/>
        </w:rPr>
      </w:pPr>
      <w:r w:rsidRPr="001A093C">
        <w:rPr>
          <w:rFonts w:ascii="Arial" w:hAnsi="Arial" w:cs="Arial"/>
          <w:i/>
          <w:sz w:val="22"/>
        </w:rPr>
        <w:t>La oferta de la empresa Caravana Internacional S.A. obtiene los siguientes puntajes:</w:t>
      </w:r>
    </w:p>
    <w:p w:rsidR="001A093C" w:rsidRPr="001A093C" w:rsidRDefault="001A093C" w:rsidP="001A093C">
      <w:pPr>
        <w:tabs>
          <w:tab w:val="left" w:pos="360"/>
        </w:tabs>
        <w:spacing w:line="276" w:lineRule="auto"/>
        <w:jc w:val="both"/>
        <w:rPr>
          <w:rFonts w:ascii="Arial" w:hAnsi="Arial" w:cs="Arial"/>
          <w:i/>
          <w:sz w:val="22"/>
          <w:szCs w:val="22"/>
        </w:rPr>
      </w:pPr>
    </w:p>
    <w:tbl>
      <w:tblPr>
        <w:tblW w:w="5977"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955"/>
        <w:gridCol w:w="3022"/>
      </w:tblGrid>
      <w:tr w:rsidR="001A093C" w:rsidRPr="001A093C" w:rsidTr="001D01D9">
        <w:trPr>
          <w:trHeight w:val="615"/>
          <w:jc w:val="center"/>
        </w:trPr>
        <w:tc>
          <w:tcPr>
            <w:tcW w:w="5977" w:type="dxa"/>
            <w:gridSpan w:val="2"/>
            <w:tcBorders>
              <w:bottom w:val="single" w:sz="12" w:space="0" w:color="9CC2E5"/>
            </w:tcBorders>
            <w:shd w:val="clear" w:color="auto" w:fill="auto"/>
            <w:noWrap/>
            <w:hideMark/>
          </w:tcPr>
          <w:p w:rsidR="001A093C" w:rsidRPr="001A093C" w:rsidRDefault="001A093C" w:rsidP="001A093C">
            <w:pPr>
              <w:rPr>
                <w:rFonts w:ascii="Arial" w:hAnsi="Arial" w:cs="Arial"/>
                <w:b/>
                <w:bCs/>
                <w:color w:val="000000"/>
                <w:sz w:val="20"/>
                <w:szCs w:val="20"/>
                <w:lang w:eastAsia="es-CR"/>
              </w:rPr>
            </w:pPr>
            <w:r w:rsidRPr="001A093C">
              <w:rPr>
                <w:rFonts w:ascii="Arial" w:hAnsi="Arial" w:cs="Arial"/>
                <w:b/>
                <w:bCs/>
                <w:color w:val="000000"/>
                <w:sz w:val="20"/>
                <w:szCs w:val="20"/>
                <w:lang w:eastAsia="es-CR"/>
              </w:rPr>
              <w:t> </w:t>
            </w:r>
          </w:p>
          <w:p w:rsidR="001A093C" w:rsidRPr="001A093C" w:rsidRDefault="001A093C" w:rsidP="001A093C">
            <w:pPr>
              <w:jc w:val="center"/>
              <w:rPr>
                <w:rFonts w:ascii="Arial" w:hAnsi="Arial" w:cs="Arial"/>
                <w:b/>
                <w:bCs/>
                <w:color w:val="000000"/>
                <w:sz w:val="20"/>
                <w:szCs w:val="20"/>
                <w:lang w:eastAsia="es-CR"/>
              </w:rPr>
            </w:pPr>
            <w:r w:rsidRPr="001A093C">
              <w:rPr>
                <w:rFonts w:ascii="Arial" w:hAnsi="Arial" w:cs="Arial"/>
                <w:b/>
                <w:bCs/>
                <w:color w:val="000000"/>
                <w:sz w:val="22"/>
                <w:szCs w:val="20"/>
                <w:lang w:eastAsia="es-CR"/>
              </w:rPr>
              <w:t>Caravana Internacional S.A.</w:t>
            </w:r>
          </w:p>
        </w:tc>
      </w:tr>
      <w:tr w:rsidR="001A093C" w:rsidRPr="001A093C" w:rsidTr="001D01D9">
        <w:trPr>
          <w:trHeight w:val="379"/>
          <w:jc w:val="center"/>
        </w:trPr>
        <w:tc>
          <w:tcPr>
            <w:tcW w:w="2955" w:type="dxa"/>
            <w:shd w:val="clear" w:color="auto" w:fill="auto"/>
            <w:noWrap/>
            <w:hideMark/>
          </w:tcPr>
          <w:p w:rsidR="001A093C" w:rsidRPr="001A093C" w:rsidRDefault="001A093C" w:rsidP="001A093C">
            <w:pPr>
              <w:rPr>
                <w:rFonts w:ascii="Arial" w:hAnsi="Arial" w:cs="Arial"/>
                <w:b/>
                <w:bCs/>
                <w:color w:val="000000"/>
                <w:sz w:val="20"/>
                <w:szCs w:val="20"/>
                <w:lang w:eastAsia="es-CR"/>
              </w:rPr>
            </w:pPr>
            <w:r w:rsidRPr="001A093C">
              <w:rPr>
                <w:rFonts w:ascii="Arial" w:hAnsi="Arial" w:cs="Arial"/>
                <w:b/>
                <w:bCs/>
                <w:color w:val="000000"/>
                <w:sz w:val="20"/>
                <w:szCs w:val="20"/>
                <w:lang w:eastAsia="es-CR"/>
              </w:rPr>
              <w:t xml:space="preserve">Comisión </w:t>
            </w:r>
          </w:p>
        </w:tc>
        <w:tc>
          <w:tcPr>
            <w:tcW w:w="3022" w:type="dxa"/>
            <w:shd w:val="clear" w:color="auto" w:fill="auto"/>
            <w:noWrap/>
            <w:hideMark/>
          </w:tcPr>
          <w:p w:rsidR="001A093C" w:rsidRPr="001A093C" w:rsidRDefault="001A093C" w:rsidP="001A093C">
            <w:pPr>
              <w:jc w:val="center"/>
              <w:rPr>
                <w:rFonts w:ascii="Arial" w:hAnsi="Arial" w:cs="Arial"/>
                <w:color w:val="000000"/>
                <w:sz w:val="20"/>
                <w:szCs w:val="20"/>
                <w:lang w:eastAsia="es-CR"/>
              </w:rPr>
            </w:pPr>
            <w:r w:rsidRPr="001A093C">
              <w:rPr>
                <w:rFonts w:ascii="Arial" w:hAnsi="Arial" w:cs="Arial"/>
                <w:color w:val="000000"/>
                <w:sz w:val="20"/>
                <w:szCs w:val="20"/>
                <w:lang w:eastAsia="es-CR"/>
              </w:rPr>
              <w:t>75</w:t>
            </w:r>
          </w:p>
        </w:tc>
      </w:tr>
      <w:tr w:rsidR="001A093C" w:rsidRPr="001A093C" w:rsidTr="001D01D9">
        <w:trPr>
          <w:trHeight w:val="379"/>
          <w:jc w:val="center"/>
        </w:trPr>
        <w:tc>
          <w:tcPr>
            <w:tcW w:w="2955" w:type="dxa"/>
            <w:shd w:val="clear" w:color="auto" w:fill="auto"/>
            <w:noWrap/>
            <w:hideMark/>
          </w:tcPr>
          <w:p w:rsidR="001A093C" w:rsidRPr="001A093C" w:rsidRDefault="001A093C" w:rsidP="001A093C">
            <w:pPr>
              <w:rPr>
                <w:rFonts w:ascii="Arial" w:hAnsi="Arial" w:cs="Arial"/>
                <w:b/>
                <w:bCs/>
                <w:color w:val="000000"/>
                <w:sz w:val="20"/>
                <w:szCs w:val="20"/>
                <w:lang w:eastAsia="es-CR"/>
              </w:rPr>
            </w:pPr>
            <w:r w:rsidRPr="001A093C">
              <w:rPr>
                <w:rFonts w:ascii="Arial" w:hAnsi="Arial" w:cs="Arial"/>
                <w:b/>
                <w:bCs/>
                <w:color w:val="000000"/>
                <w:sz w:val="20"/>
                <w:szCs w:val="20"/>
                <w:lang w:eastAsia="es-CR"/>
              </w:rPr>
              <w:t>Experiencia</w:t>
            </w:r>
          </w:p>
        </w:tc>
        <w:tc>
          <w:tcPr>
            <w:tcW w:w="3022" w:type="dxa"/>
            <w:shd w:val="clear" w:color="auto" w:fill="auto"/>
            <w:noWrap/>
            <w:hideMark/>
          </w:tcPr>
          <w:p w:rsidR="001A093C" w:rsidRPr="001A093C" w:rsidRDefault="001A093C" w:rsidP="001A093C">
            <w:pPr>
              <w:jc w:val="center"/>
              <w:rPr>
                <w:rFonts w:ascii="Arial" w:hAnsi="Arial" w:cs="Arial"/>
                <w:color w:val="000000"/>
                <w:sz w:val="20"/>
                <w:szCs w:val="20"/>
                <w:lang w:eastAsia="es-CR"/>
              </w:rPr>
            </w:pPr>
            <w:r w:rsidRPr="001A093C">
              <w:rPr>
                <w:rFonts w:ascii="Arial" w:hAnsi="Arial" w:cs="Arial"/>
                <w:color w:val="000000"/>
                <w:sz w:val="20"/>
                <w:szCs w:val="20"/>
                <w:lang w:eastAsia="es-CR"/>
              </w:rPr>
              <w:t>25</w:t>
            </w:r>
          </w:p>
        </w:tc>
      </w:tr>
      <w:tr w:rsidR="001A093C" w:rsidRPr="001A093C" w:rsidTr="001D01D9">
        <w:trPr>
          <w:trHeight w:val="379"/>
          <w:jc w:val="center"/>
        </w:trPr>
        <w:tc>
          <w:tcPr>
            <w:tcW w:w="2955" w:type="dxa"/>
            <w:shd w:val="clear" w:color="auto" w:fill="auto"/>
            <w:noWrap/>
            <w:hideMark/>
          </w:tcPr>
          <w:p w:rsidR="001A093C" w:rsidRPr="001A093C" w:rsidRDefault="001A093C" w:rsidP="001A093C">
            <w:pPr>
              <w:jc w:val="center"/>
              <w:rPr>
                <w:rFonts w:ascii="Arial" w:hAnsi="Arial" w:cs="Arial"/>
                <w:b/>
                <w:bCs/>
                <w:color w:val="000000"/>
                <w:sz w:val="20"/>
                <w:szCs w:val="20"/>
                <w:lang w:eastAsia="es-CR"/>
              </w:rPr>
            </w:pPr>
            <w:r w:rsidRPr="001A093C">
              <w:rPr>
                <w:rFonts w:ascii="Arial" w:hAnsi="Arial" w:cs="Arial"/>
                <w:b/>
                <w:bCs/>
                <w:color w:val="000000"/>
                <w:sz w:val="20"/>
                <w:szCs w:val="20"/>
                <w:lang w:eastAsia="es-CR"/>
              </w:rPr>
              <w:t>TOTAL</w:t>
            </w:r>
          </w:p>
        </w:tc>
        <w:tc>
          <w:tcPr>
            <w:tcW w:w="3022" w:type="dxa"/>
            <w:shd w:val="clear" w:color="auto" w:fill="auto"/>
            <w:noWrap/>
            <w:hideMark/>
          </w:tcPr>
          <w:p w:rsidR="001A093C" w:rsidRPr="001A093C" w:rsidRDefault="001A093C" w:rsidP="001A093C">
            <w:pPr>
              <w:jc w:val="center"/>
              <w:rPr>
                <w:rFonts w:ascii="Arial" w:hAnsi="Arial" w:cs="Arial"/>
                <w:b/>
                <w:color w:val="000000"/>
                <w:sz w:val="20"/>
                <w:szCs w:val="20"/>
                <w:lang w:eastAsia="es-CR"/>
              </w:rPr>
            </w:pPr>
            <w:r w:rsidRPr="001A093C">
              <w:rPr>
                <w:rFonts w:ascii="Arial" w:hAnsi="Arial" w:cs="Arial"/>
                <w:b/>
                <w:color w:val="000000"/>
                <w:sz w:val="20"/>
                <w:szCs w:val="20"/>
                <w:lang w:eastAsia="es-CR"/>
              </w:rPr>
              <w:t>100</w:t>
            </w:r>
          </w:p>
        </w:tc>
      </w:tr>
    </w:tbl>
    <w:p w:rsidR="001A093C" w:rsidRPr="001A093C" w:rsidRDefault="001A093C" w:rsidP="001A093C">
      <w:pPr>
        <w:tabs>
          <w:tab w:val="left" w:pos="360"/>
        </w:tabs>
        <w:spacing w:line="276" w:lineRule="auto"/>
        <w:jc w:val="both"/>
        <w:rPr>
          <w:rFonts w:ascii="Arial" w:hAnsi="Arial" w:cs="Arial"/>
          <w:i/>
          <w:sz w:val="22"/>
          <w:szCs w:val="22"/>
        </w:rPr>
      </w:pPr>
    </w:p>
    <w:p w:rsidR="001A093C" w:rsidRPr="001A093C" w:rsidRDefault="001A093C" w:rsidP="001A093C">
      <w:pPr>
        <w:ind w:left="454" w:right="454"/>
        <w:jc w:val="both"/>
        <w:rPr>
          <w:rFonts w:ascii="Arial" w:hAnsi="Arial" w:cs="Arial"/>
          <w:i/>
          <w:sz w:val="22"/>
        </w:rPr>
      </w:pPr>
      <w:r w:rsidRPr="001A093C">
        <w:rPr>
          <w:rFonts w:ascii="Arial" w:hAnsi="Arial" w:cs="Arial"/>
          <w:i/>
          <w:sz w:val="22"/>
        </w:rPr>
        <w:t>Basado en el análisis técnico y los parámetros de valoración, se recomienda adjudicar a la empresa Caravana Internacional S.A., por cumplir con todas las condiciones establecidas en el pliego de condiciones y obtener un 100% de puntaje en la evaluación.</w:t>
      </w:r>
    </w:p>
    <w:p w:rsidR="001A093C" w:rsidRPr="001A093C" w:rsidRDefault="001A093C" w:rsidP="001A093C">
      <w:pPr>
        <w:ind w:left="454" w:right="454"/>
        <w:jc w:val="both"/>
        <w:rPr>
          <w:rFonts w:ascii="Arial" w:hAnsi="Arial" w:cs="Arial"/>
          <w:i/>
          <w:sz w:val="22"/>
        </w:rPr>
      </w:pPr>
    </w:p>
    <w:p w:rsidR="001A093C" w:rsidRPr="001A093C" w:rsidRDefault="001A093C" w:rsidP="001A093C">
      <w:pPr>
        <w:keepNext/>
        <w:numPr>
          <w:ilvl w:val="0"/>
          <w:numId w:val="13"/>
        </w:numPr>
        <w:spacing w:before="240" w:after="60"/>
        <w:ind w:left="709"/>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Recomendación de Adjudicación</w:t>
      </w:r>
    </w:p>
    <w:p w:rsidR="001A093C" w:rsidRPr="001A093C" w:rsidRDefault="001A093C" w:rsidP="001A093C">
      <w:pPr>
        <w:ind w:left="826" w:right="454"/>
        <w:rPr>
          <w:rFonts w:ascii="Arial" w:hAnsi="Arial" w:cs="Arial"/>
          <w:i/>
          <w:sz w:val="22"/>
        </w:rPr>
      </w:pPr>
      <w:r w:rsidRPr="001A093C">
        <w:rPr>
          <w:rFonts w:ascii="Arial" w:hAnsi="Arial" w:cs="Arial"/>
          <w:i/>
          <w:sz w:val="22"/>
        </w:rPr>
        <w:t>Con base en los resultados del estudio tanto legal como técnico se recomienda adjudicar a:</w:t>
      </w:r>
    </w:p>
    <w:p w:rsidR="001A093C" w:rsidRPr="001A093C" w:rsidRDefault="001A093C" w:rsidP="001A093C">
      <w:pPr>
        <w:rPr>
          <w:rFonts w:ascii="Arial" w:hAnsi="Arial" w:cs="Arial"/>
          <w:b/>
          <w:i/>
          <w:sz w:val="22"/>
        </w:rPr>
      </w:pPr>
    </w:p>
    <w:p w:rsidR="001A093C" w:rsidRPr="001A093C" w:rsidRDefault="001A093C" w:rsidP="001A093C">
      <w:pPr>
        <w:ind w:firstLine="708"/>
        <w:rPr>
          <w:rFonts w:ascii="Arial" w:hAnsi="Arial" w:cs="Arial"/>
          <w:i/>
          <w:sz w:val="22"/>
          <w:lang w:val="es-CR"/>
        </w:rPr>
      </w:pPr>
      <w:r w:rsidRPr="001A093C">
        <w:rPr>
          <w:rFonts w:ascii="Arial" w:hAnsi="Arial" w:cs="Arial"/>
          <w:b/>
          <w:i/>
          <w:color w:val="1F497D"/>
          <w:kern w:val="28"/>
          <w:sz w:val="22"/>
          <w:szCs w:val="22"/>
          <w:lang w:val="es-CR"/>
        </w:rPr>
        <w:t>Caravana Internacional S.A.</w:t>
      </w:r>
      <w:r w:rsidRPr="001A093C">
        <w:rPr>
          <w:rFonts w:ascii="Arial" w:hAnsi="Arial" w:cs="Arial"/>
          <w:b/>
          <w:bCs/>
          <w:i/>
          <w:sz w:val="22"/>
          <w:lang w:val="es-CR"/>
        </w:rPr>
        <w:tab/>
      </w:r>
      <w:r w:rsidRPr="001A093C">
        <w:rPr>
          <w:rFonts w:ascii="Arial" w:hAnsi="Arial" w:cs="Arial"/>
          <w:b/>
          <w:bCs/>
          <w:i/>
          <w:sz w:val="22"/>
          <w:lang w:val="es-CR"/>
        </w:rPr>
        <w:tab/>
      </w:r>
      <w:r w:rsidRPr="001A093C">
        <w:rPr>
          <w:rFonts w:ascii="Arial" w:hAnsi="Arial" w:cs="Arial"/>
          <w:b/>
          <w:bCs/>
          <w:i/>
          <w:sz w:val="22"/>
          <w:lang w:val="es-CR"/>
        </w:rPr>
        <w:tab/>
      </w:r>
      <w:r w:rsidRPr="001A093C">
        <w:rPr>
          <w:rFonts w:ascii="Arial" w:hAnsi="Arial" w:cs="Arial"/>
          <w:b/>
          <w:i/>
          <w:color w:val="1F497D"/>
          <w:kern w:val="28"/>
          <w:sz w:val="22"/>
          <w:szCs w:val="22"/>
          <w:lang w:val="es-CR"/>
        </w:rPr>
        <w:t>Cédula jurídica</w:t>
      </w:r>
      <w:r w:rsidRPr="001A093C">
        <w:rPr>
          <w:rFonts w:ascii="Arial" w:hAnsi="Arial" w:cs="Arial"/>
          <w:i/>
          <w:sz w:val="22"/>
          <w:lang w:val="es-CR"/>
        </w:rPr>
        <w:t xml:space="preserve"> </w:t>
      </w:r>
      <w:r w:rsidRPr="001A093C">
        <w:rPr>
          <w:rFonts w:ascii="Arial" w:hAnsi="Arial" w:cs="Arial"/>
          <w:i/>
          <w:color w:val="000000"/>
          <w:sz w:val="22"/>
          <w:szCs w:val="22"/>
        </w:rPr>
        <w:t>3101063669</w:t>
      </w:r>
    </w:p>
    <w:p w:rsidR="001A093C" w:rsidRPr="001A093C" w:rsidRDefault="001A093C" w:rsidP="001A093C">
      <w:pPr>
        <w:rPr>
          <w:rFonts w:ascii="Arial" w:hAnsi="Arial" w:cs="Arial"/>
          <w:i/>
          <w:sz w:val="22"/>
          <w:lang w:val="es-CR"/>
        </w:rPr>
      </w:pPr>
    </w:p>
    <w:p w:rsidR="001A093C" w:rsidRPr="001A093C" w:rsidRDefault="001A093C" w:rsidP="001A093C">
      <w:pPr>
        <w:rPr>
          <w:rFonts w:ascii="Arial" w:hAnsi="Arial" w:cs="Arial"/>
          <w:i/>
          <w:sz w:val="22"/>
          <w:lang w:val="es-CR"/>
        </w:rPr>
      </w:pPr>
    </w:p>
    <w:p w:rsidR="001A093C" w:rsidRPr="001A093C" w:rsidRDefault="001A093C" w:rsidP="001A093C">
      <w:pPr>
        <w:ind w:left="546" w:right="454"/>
        <w:rPr>
          <w:rFonts w:ascii="Arial" w:hAnsi="Arial" w:cs="Arial"/>
          <w:i/>
          <w:sz w:val="22"/>
        </w:rPr>
      </w:pPr>
      <w:r w:rsidRPr="001A093C">
        <w:rPr>
          <w:rFonts w:ascii="Arial" w:hAnsi="Arial" w:cs="Arial"/>
          <w:i/>
          <w:sz w:val="22"/>
        </w:rPr>
        <w:t xml:space="preserve">Conformar el registro de precalificación para el suministro de </w:t>
      </w:r>
      <w:r w:rsidRPr="001A093C">
        <w:rPr>
          <w:rFonts w:ascii="Arial" w:hAnsi="Arial" w:cs="Arial"/>
          <w:bCs/>
          <w:i/>
          <w:sz w:val="22"/>
          <w:szCs w:val="22"/>
        </w:rPr>
        <w:t>tiquetes aéreos a los funcionarios, estudiantes, delegados e invitados de las distintas dependencias Institucionales</w:t>
      </w:r>
    </w:p>
    <w:p w:rsidR="001A093C" w:rsidRPr="001A093C" w:rsidRDefault="001A093C" w:rsidP="001A093C">
      <w:pPr>
        <w:rPr>
          <w:rFonts w:ascii="Arial" w:hAnsi="Arial" w:cs="Arial"/>
          <w:i/>
          <w:sz w:val="22"/>
        </w:rPr>
      </w:pPr>
    </w:p>
    <w:p w:rsidR="001A093C" w:rsidRPr="001A093C" w:rsidRDefault="001A093C" w:rsidP="001A093C">
      <w:pPr>
        <w:tabs>
          <w:tab w:val="left" w:pos="1418"/>
        </w:tabs>
        <w:jc w:val="both"/>
        <w:rPr>
          <w:rFonts w:ascii="Arial" w:hAnsi="Arial" w:cs="Arial"/>
          <w:b/>
          <w:i/>
          <w:sz w:val="20"/>
          <w:szCs w:val="20"/>
        </w:rPr>
      </w:pPr>
      <w:r w:rsidRPr="001A093C">
        <w:rPr>
          <w:rFonts w:ascii="Arial" w:hAnsi="Arial" w:cs="Arial"/>
          <w:b/>
          <w:i/>
          <w:sz w:val="22"/>
          <w:szCs w:val="22"/>
        </w:rPr>
        <w:tab/>
      </w:r>
      <w:proofErr w:type="gramStart"/>
      <w:r w:rsidRPr="001A093C">
        <w:rPr>
          <w:rFonts w:ascii="Arial" w:hAnsi="Arial" w:cs="Arial"/>
          <w:b/>
          <w:i/>
          <w:sz w:val="22"/>
          <w:szCs w:val="22"/>
        </w:rPr>
        <w:t>Total</w:t>
      </w:r>
      <w:proofErr w:type="gramEnd"/>
      <w:r w:rsidRPr="001A093C">
        <w:rPr>
          <w:rFonts w:ascii="Arial" w:hAnsi="Arial" w:cs="Arial"/>
          <w:b/>
          <w:i/>
          <w:sz w:val="22"/>
          <w:szCs w:val="22"/>
        </w:rPr>
        <w:t xml:space="preserve"> adjudicado:</w:t>
      </w:r>
      <w:r w:rsidRPr="001A093C">
        <w:rPr>
          <w:rFonts w:ascii="Arial" w:hAnsi="Arial" w:cs="Arial"/>
          <w:b/>
          <w:i/>
          <w:color w:val="FF0000"/>
          <w:sz w:val="22"/>
          <w:szCs w:val="22"/>
        </w:rPr>
        <w:tab/>
      </w:r>
      <w:r w:rsidRPr="001A093C">
        <w:rPr>
          <w:rFonts w:ascii="Arial" w:hAnsi="Arial" w:cs="Arial"/>
          <w:b/>
          <w:i/>
          <w:color w:val="FF0000"/>
          <w:sz w:val="22"/>
          <w:szCs w:val="22"/>
        </w:rPr>
        <w:tab/>
      </w:r>
      <w:r w:rsidRPr="001A093C">
        <w:rPr>
          <w:rFonts w:ascii="Arial" w:hAnsi="Arial" w:cs="Arial"/>
          <w:bCs/>
          <w:i/>
          <w:sz w:val="22"/>
          <w:szCs w:val="22"/>
        </w:rPr>
        <w:tab/>
        <w:t>Según demanda</w:t>
      </w:r>
    </w:p>
    <w:p w:rsidR="001A093C" w:rsidRPr="001A093C" w:rsidRDefault="001A093C" w:rsidP="001A093C">
      <w:pPr>
        <w:tabs>
          <w:tab w:val="left" w:pos="1080"/>
          <w:tab w:val="left" w:pos="2520"/>
        </w:tabs>
        <w:spacing w:after="120"/>
        <w:jc w:val="both"/>
        <w:rPr>
          <w:rFonts w:ascii="Arial" w:hAnsi="Arial" w:cs="Arial"/>
          <w:bCs/>
          <w:sz w:val="22"/>
          <w:szCs w:val="22"/>
        </w:rPr>
      </w:pPr>
    </w:p>
    <w:p w:rsidR="001A093C" w:rsidRPr="001A093C" w:rsidRDefault="001A093C" w:rsidP="001A093C">
      <w:pPr>
        <w:keepNext/>
        <w:numPr>
          <w:ilvl w:val="0"/>
          <w:numId w:val="13"/>
        </w:numPr>
        <w:spacing w:before="240" w:after="60"/>
        <w:ind w:left="851"/>
        <w:jc w:val="both"/>
        <w:outlineLvl w:val="0"/>
        <w:rPr>
          <w:rFonts w:ascii="Arial" w:hAnsi="Arial" w:cs="Arial"/>
          <w:b/>
          <w:bCs/>
          <w:i/>
          <w:color w:val="1F497D"/>
          <w:kern w:val="32"/>
          <w:sz w:val="22"/>
          <w:szCs w:val="22"/>
        </w:rPr>
      </w:pPr>
      <w:r w:rsidRPr="001A093C">
        <w:rPr>
          <w:rFonts w:ascii="Arial" w:hAnsi="Arial" w:cs="Arial"/>
          <w:b/>
          <w:bCs/>
          <w:i/>
          <w:color w:val="1F497D"/>
          <w:kern w:val="32"/>
          <w:sz w:val="22"/>
          <w:szCs w:val="22"/>
        </w:rPr>
        <w:t xml:space="preserve">Razones de la recomendación </w:t>
      </w:r>
    </w:p>
    <w:p w:rsidR="001A093C" w:rsidRPr="001A093C" w:rsidRDefault="001A093C" w:rsidP="001A093C">
      <w:pPr>
        <w:rPr>
          <w:sz w:val="16"/>
          <w:szCs w:val="16"/>
        </w:rPr>
      </w:pPr>
    </w:p>
    <w:p w:rsidR="001A093C" w:rsidRPr="001A093C" w:rsidRDefault="001A093C" w:rsidP="001A093C">
      <w:pPr>
        <w:numPr>
          <w:ilvl w:val="1"/>
          <w:numId w:val="15"/>
        </w:numPr>
        <w:tabs>
          <w:tab w:val="num" w:pos="-180"/>
        </w:tabs>
        <w:ind w:left="1134"/>
        <w:jc w:val="both"/>
        <w:rPr>
          <w:rFonts w:ascii="Arial" w:hAnsi="Arial" w:cs="Arial"/>
          <w:i/>
          <w:sz w:val="22"/>
          <w:szCs w:val="22"/>
        </w:rPr>
      </w:pPr>
      <w:r w:rsidRPr="001A093C">
        <w:rPr>
          <w:rFonts w:ascii="Arial" w:hAnsi="Arial" w:cs="Arial"/>
          <w:i/>
          <w:sz w:val="22"/>
          <w:szCs w:val="22"/>
        </w:rPr>
        <w:t>Se cuenta con disponibilidad presupuestaria.</w:t>
      </w:r>
    </w:p>
    <w:p w:rsidR="001A093C" w:rsidRPr="001A093C" w:rsidRDefault="001A093C" w:rsidP="001A093C">
      <w:pPr>
        <w:numPr>
          <w:ilvl w:val="1"/>
          <w:numId w:val="15"/>
        </w:numPr>
        <w:tabs>
          <w:tab w:val="num" w:pos="-180"/>
        </w:tabs>
        <w:ind w:left="1134"/>
        <w:jc w:val="both"/>
        <w:rPr>
          <w:rFonts w:ascii="Arial" w:hAnsi="Arial" w:cs="Arial"/>
          <w:i/>
          <w:sz w:val="22"/>
          <w:szCs w:val="22"/>
        </w:rPr>
      </w:pPr>
      <w:r w:rsidRPr="001A093C">
        <w:rPr>
          <w:rFonts w:ascii="Arial" w:hAnsi="Arial" w:cs="Arial"/>
          <w:i/>
          <w:sz w:val="22"/>
          <w:szCs w:val="22"/>
        </w:rPr>
        <w:t>Cumple con lo solicitado en el pliego de condiciones.</w:t>
      </w:r>
    </w:p>
    <w:p w:rsidR="001A093C" w:rsidRPr="001A093C" w:rsidRDefault="001A093C" w:rsidP="001A093C">
      <w:pPr>
        <w:numPr>
          <w:ilvl w:val="1"/>
          <w:numId w:val="15"/>
        </w:numPr>
        <w:tabs>
          <w:tab w:val="num" w:pos="-180"/>
        </w:tabs>
        <w:ind w:left="1134"/>
        <w:jc w:val="both"/>
        <w:rPr>
          <w:rFonts w:ascii="Arial" w:hAnsi="Arial" w:cs="Arial"/>
          <w:i/>
          <w:sz w:val="22"/>
          <w:szCs w:val="22"/>
        </w:rPr>
      </w:pPr>
      <w:r w:rsidRPr="001A093C">
        <w:rPr>
          <w:rFonts w:ascii="Arial" w:hAnsi="Arial" w:cs="Arial"/>
          <w:i/>
          <w:sz w:val="22"/>
          <w:szCs w:val="22"/>
        </w:rPr>
        <w:t>Se ajusta a los intereses Institucionales.</w:t>
      </w:r>
    </w:p>
    <w:p w:rsidR="001A093C" w:rsidRPr="001A093C" w:rsidRDefault="001A093C" w:rsidP="001A093C">
      <w:pPr>
        <w:numPr>
          <w:ilvl w:val="1"/>
          <w:numId w:val="15"/>
        </w:numPr>
        <w:tabs>
          <w:tab w:val="num" w:pos="-180"/>
        </w:tabs>
        <w:ind w:left="1134"/>
        <w:jc w:val="both"/>
        <w:rPr>
          <w:rFonts w:ascii="Arial" w:hAnsi="Arial" w:cs="Arial"/>
          <w:i/>
          <w:sz w:val="22"/>
          <w:szCs w:val="22"/>
        </w:rPr>
      </w:pPr>
      <w:r w:rsidRPr="001A093C">
        <w:rPr>
          <w:rFonts w:ascii="Arial" w:hAnsi="Arial" w:cs="Arial"/>
          <w:i/>
          <w:sz w:val="22"/>
          <w:szCs w:val="22"/>
        </w:rPr>
        <w:t xml:space="preserve">La oferta cumple con lo solicitado. </w:t>
      </w:r>
    </w:p>
    <w:p w:rsidR="001A093C" w:rsidRPr="001A093C" w:rsidRDefault="001A093C" w:rsidP="001A093C">
      <w:pPr>
        <w:ind w:left="774"/>
        <w:jc w:val="both"/>
        <w:rPr>
          <w:rFonts w:ascii="Arial" w:hAnsi="Arial" w:cs="Arial"/>
          <w:i/>
          <w:sz w:val="22"/>
          <w:szCs w:val="22"/>
        </w:rPr>
      </w:pPr>
    </w:p>
    <w:p w:rsidR="001A093C" w:rsidRPr="001A093C" w:rsidRDefault="001A093C" w:rsidP="001A093C">
      <w:pPr>
        <w:tabs>
          <w:tab w:val="left" w:pos="0"/>
          <w:tab w:val="center" w:pos="4986"/>
        </w:tabs>
        <w:ind w:left="426"/>
        <w:contextualSpacing/>
        <w:jc w:val="both"/>
        <w:outlineLvl w:val="0"/>
        <w:rPr>
          <w:rFonts w:ascii="Arial" w:hAnsi="Arial" w:cs="Arial"/>
        </w:rPr>
      </w:pPr>
    </w:p>
    <w:p w:rsidR="001A093C" w:rsidRPr="001A093C" w:rsidRDefault="001A093C" w:rsidP="001A093C">
      <w:pPr>
        <w:numPr>
          <w:ilvl w:val="0"/>
          <w:numId w:val="23"/>
        </w:numPr>
        <w:tabs>
          <w:tab w:val="center" w:pos="4986"/>
        </w:tabs>
        <w:ind w:left="567" w:hanging="567"/>
        <w:contextualSpacing/>
        <w:jc w:val="both"/>
        <w:outlineLvl w:val="0"/>
        <w:rPr>
          <w:rFonts w:ascii="Arial" w:hAnsi="Arial" w:cs="Arial"/>
          <w:bCs/>
        </w:rPr>
      </w:pPr>
      <w:r w:rsidRPr="001A093C">
        <w:rPr>
          <w:rFonts w:ascii="Arial" w:hAnsi="Arial" w:cs="Arial"/>
          <w:bCs/>
        </w:rPr>
        <w:t xml:space="preserve">En reunión de la Comisión de Planificación y Administración No. 751-2017, </w:t>
      </w:r>
      <w:r w:rsidRPr="001A093C">
        <w:rPr>
          <w:rFonts w:ascii="Arial" w:hAnsi="Arial" w:cs="Arial"/>
          <w:iCs/>
        </w:rPr>
        <w:t>realizada</w:t>
      </w:r>
      <w:r w:rsidRPr="001A093C">
        <w:rPr>
          <w:rFonts w:ascii="Arial" w:hAnsi="Arial" w:cs="Arial"/>
          <w:bCs/>
        </w:rPr>
        <w:t xml:space="preserve"> el 15 de enero de 2018, s</w:t>
      </w:r>
      <w:r w:rsidRPr="001A093C">
        <w:rPr>
          <w:rFonts w:ascii="Arial" w:hAnsi="Arial" w:cs="Arial"/>
          <w:iCs/>
        </w:rPr>
        <w:t>e revisa ampliamente el Informe de Adjudicación y Expediente de la Licitación Pública No. 2017LN-000006-APITCR “</w:t>
      </w:r>
      <w:r w:rsidRPr="001A093C">
        <w:rPr>
          <w:rFonts w:ascii="Arial" w:hAnsi="Arial" w:cs="Arial"/>
        </w:rPr>
        <w:t>Selección de un máximo de tres agencias de viajes para el suministro de tiquetes aéreos”</w:t>
      </w:r>
      <w:r w:rsidRPr="001A093C">
        <w:rPr>
          <w:rFonts w:ascii="Arial" w:hAnsi="Arial" w:cs="Arial"/>
          <w:iCs/>
        </w:rPr>
        <w:t xml:space="preserve">.  En esta reunión se recibe a la Licda. Kathya Calderón, Directora del Departamento Aprovisionamiento y a la Licda. </w:t>
      </w:r>
      <w:proofErr w:type="spellStart"/>
      <w:r w:rsidRPr="001A093C">
        <w:rPr>
          <w:rFonts w:ascii="Arial" w:hAnsi="Arial" w:cs="Arial"/>
          <w:iCs/>
        </w:rPr>
        <w:t>Guisella</w:t>
      </w:r>
      <w:proofErr w:type="spellEnd"/>
      <w:r w:rsidRPr="001A093C">
        <w:rPr>
          <w:rFonts w:ascii="Arial" w:hAnsi="Arial" w:cs="Arial"/>
          <w:iCs/>
        </w:rPr>
        <w:t xml:space="preserve"> Campos, Analista de Licitaciones del mismo Departamento, quiénes exponen ampliamente sobre el proceso de Licitación. Los integrantes de la Comisión exponen las dudas y aclaradas las mismas, se dispone elevar la siguiente propuesta al Consejo Institucional.</w:t>
      </w:r>
    </w:p>
    <w:p w:rsidR="001A093C" w:rsidRPr="001A093C" w:rsidRDefault="001A093C" w:rsidP="001A093C">
      <w:pPr>
        <w:jc w:val="both"/>
        <w:rPr>
          <w:rFonts w:ascii="Arial" w:hAnsi="Arial" w:cs="Arial"/>
          <w:bCs/>
          <w:sz w:val="16"/>
          <w:szCs w:val="16"/>
        </w:rPr>
      </w:pPr>
    </w:p>
    <w:p w:rsidR="001A093C" w:rsidRDefault="001A093C" w:rsidP="001A093C">
      <w:pPr>
        <w:autoSpaceDE w:val="0"/>
        <w:autoSpaceDN w:val="0"/>
        <w:adjustRightInd w:val="0"/>
        <w:jc w:val="both"/>
        <w:rPr>
          <w:rFonts w:ascii="Arial" w:hAnsi="Arial" w:cs="Arial"/>
          <w:b/>
          <w:bCs/>
          <w:lang w:val="es-CR" w:eastAsia="es-CR"/>
        </w:rPr>
      </w:pPr>
    </w:p>
    <w:p w:rsidR="001A093C" w:rsidRDefault="001A093C" w:rsidP="001A093C">
      <w:pPr>
        <w:autoSpaceDE w:val="0"/>
        <w:autoSpaceDN w:val="0"/>
        <w:adjustRightInd w:val="0"/>
        <w:jc w:val="both"/>
        <w:rPr>
          <w:rFonts w:ascii="Arial" w:hAnsi="Arial" w:cs="Arial"/>
          <w:b/>
          <w:bCs/>
          <w:lang w:val="es-CR" w:eastAsia="es-CR"/>
        </w:rPr>
      </w:pPr>
    </w:p>
    <w:p w:rsidR="001A093C" w:rsidRPr="001A093C" w:rsidRDefault="001A093C" w:rsidP="001A093C">
      <w:pPr>
        <w:autoSpaceDE w:val="0"/>
        <w:autoSpaceDN w:val="0"/>
        <w:adjustRightInd w:val="0"/>
        <w:jc w:val="both"/>
        <w:rPr>
          <w:rFonts w:ascii="Arial" w:hAnsi="Arial" w:cs="Arial"/>
          <w:b/>
          <w:bCs/>
          <w:lang w:val="es-CR" w:eastAsia="es-CR"/>
        </w:rPr>
      </w:pPr>
      <w:r w:rsidRPr="001A093C">
        <w:rPr>
          <w:rFonts w:ascii="Arial" w:hAnsi="Arial" w:cs="Arial"/>
          <w:b/>
          <w:bCs/>
          <w:lang w:val="es-CR" w:eastAsia="es-CR"/>
        </w:rPr>
        <w:lastRenderedPageBreak/>
        <w:t>SE</w:t>
      </w:r>
      <w:r>
        <w:rPr>
          <w:rFonts w:ascii="Arial" w:hAnsi="Arial" w:cs="Arial"/>
          <w:b/>
          <w:bCs/>
          <w:lang w:val="es-CR" w:eastAsia="es-CR"/>
        </w:rPr>
        <w:t xml:space="preserve"> ACUERDA</w:t>
      </w:r>
      <w:r w:rsidRPr="001A093C">
        <w:rPr>
          <w:rFonts w:ascii="Arial" w:hAnsi="Arial" w:cs="Arial"/>
          <w:b/>
          <w:bCs/>
          <w:lang w:val="es-CR" w:eastAsia="es-CR"/>
        </w:rPr>
        <w:t>:</w:t>
      </w:r>
    </w:p>
    <w:p w:rsidR="001A093C" w:rsidRPr="001A093C" w:rsidRDefault="001A093C" w:rsidP="001A093C">
      <w:pPr>
        <w:autoSpaceDE w:val="0"/>
        <w:autoSpaceDN w:val="0"/>
        <w:adjustRightInd w:val="0"/>
        <w:ind w:firstLine="567"/>
        <w:jc w:val="both"/>
        <w:rPr>
          <w:rFonts w:ascii="Arial" w:hAnsi="Arial" w:cs="Arial"/>
          <w:b/>
          <w:bCs/>
          <w:sz w:val="16"/>
          <w:szCs w:val="16"/>
          <w:lang w:val="es-CR" w:eastAsia="es-CR"/>
        </w:rPr>
      </w:pPr>
    </w:p>
    <w:p w:rsidR="001A093C" w:rsidRPr="001A093C" w:rsidRDefault="001A093C" w:rsidP="001A093C">
      <w:pPr>
        <w:numPr>
          <w:ilvl w:val="0"/>
          <w:numId w:val="12"/>
        </w:numPr>
        <w:jc w:val="both"/>
        <w:rPr>
          <w:rFonts w:ascii="Arial" w:hAnsi="Arial" w:cs="Arial"/>
        </w:rPr>
      </w:pPr>
      <w:r w:rsidRPr="001A093C">
        <w:rPr>
          <w:rFonts w:ascii="Arial" w:eastAsia="Calibri" w:hAnsi="Arial" w:cs="Arial"/>
          <w:iCs/>
          <w:lang w:val="es-ES_tradnl"/>
        </w:rPr>
        <w:t xml:space="preserve">Adjudicar </w:t>
      </w:r>
      <w:r w:rsidRPr="001A093C">
        <w:rPr>
          <w:rFonts w:ascii="Arial" w:hAnsi="Arial" w:cs="Arial"/>
          <w:bCs/>
        </w:rPr>
        <w:t xml:space="preserve">la Licitación </w:t>
      </w:r>
      <w:r w:rsidRPr="001A093C">
        <w:rPr>
          <w:rFonts w:ascii="Arial" w:hAnsi="Arial" w:cs="Arial"/>
        </w:rPr>
        <w:t xml:space="preserve">Pública No. 2017LN-000006-APITCR “Selección de un máximo de tres agencias de viajes para el suministro de tiquetes aéreos”, a la Empresa Caravana Internacional S.A., Cédula jurídica 3101063669, Total Adjudicado Según demanda, en razón de que la oferta se ajusta a lo solicitado en el Cartel de la Licitación.  </w:t>
      </w:r>
    </w:p>
    <w:p w:rsidR="001A093C" w:rsidRDefault="001A093C" w:rsidP="007742A1">
      <w:pPr>
        <w:jc w:val="both"/>
        <w:rPr>
          <w:rFonts w:ascii="Arial" w:eastAsia="Cambria" w:hAnsi="Arial" w:cs="Arial"/>
          <w:lang w:val="es-ES_tradnl" w:eastAsia="en-US"/>
        </w:rPr>
      </w:pPr>
    </w:p>
    <w:p w:rsidR="004C1E59" w:rsidRDefault="004C1E59" w:rsidP="004C1E59">
      <w:pPr>
        <w:tabs>
          <w:tab w:val="left" w:pos="760"/>
        </w:tabs>
        <w:spacing w:line="276" w:lineRule="auto"/>
        <w:jc w:val="both"/>
        <w:rPr>
          <w:rFonts w:ascii="Arial" w:hAnsi="Arial" w:cs="Arial"/>
          <w:b/>
          <w:sz w:val="22"/>
          <w:szCs w:val="22"/>
          <w:lang w:val="es-CR"/>
        </w:rPr>
      </w:pPr>
    </w:p>
    <w:p w:rsidR="004C1E59" w:rsidRDefault="004C1E59" w:rsidP="001A093C">
      <w:pPr>
        <w:numPr>
          <w:ilvl w:val="0"/>
          <w:numId w:val="12"/>
        </w:numPr>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C1E59" w:rsidRPr="004C1E59" w:rsidRDefault="004C1E59" w:rsidP="004C1E59">
      <w:pPr>
        <w:tabs>
          <w:tab w:val="left" w:pos="760"/>
        </w:tabs>
        <w:spacing w:line="276" w:lineRule="auto"/>
        <w:jc w:val="both"/>
        <w:rPr>
          <w:rFonts w:ascii="Arial" w:hAnsi="Arial" w:cs="Arial"/>
          <w:b/>
          <w:sz w:val="22"/>
          <w:szCs w:val="22"/>
          <w:lang w:val="es-CR"/>
        </w:rPr>
      </w:pPr>
    </w:p>
    <w:p w:rsidR="001A093C" w:rsidRPr="001A093C" w:rsidRDefault="001A093C" w:rsidP="001A093C">
      <w:pPr>
        <w:rPr>
          <w:rFonts w:ascii="Arial" w:eastAsia="Calibri" w:hAnsi="Arial" w:cs="Arial"/>
          <w:b/>
          <w:iCs/>
          <w:sz w:val="22"/>
          <w:szCs w:val="22"/>
          <w:lang w:val="es-ES_tradnl"/>
        </w:rPr>
      </w:pPr>
      <w:r w:rsidRPr="001A093C">
        <w:rPr>
          <w:rFonts w:ascii="Arial" w:eastAsia="Calibri" w:hAnsi="Arial" w:cs="Arial"/>
          <w:b/>
          <w:iCs/>
          <w:sz w:val="20"/>
          <w:szCs w:val="20"/>
          <w:lang w:val="es-ES_tradnl"/>
        </w:rPr>
        <w:t xml:space="preserve">Palabras clave: Licitación - </w:t>
      </w:r>
      <w:r w:rsidRPr="001A093C">
        <w:rPr>
          <w:rFonts w:ascii="Arial" w:hAnsi="Arial" w:cs="Arial"/>
          <w:b/>
          <w:bCs/>
          <w:sz w:val="20"/>
          <w:szCs w:val="20"/>
        </w:rPr>
        <w:t>N° 2017LN-00006-APITCR – Selección – Tres – Agencias – Viajes – Tiquetes - Aéreos</w:t>
      </w:r>
      <w:r w:rsidRPr="001A093C">
        <w:rPr>
          <w:rFonts w:ascii="Arial" w:hAnsi="Arial" w:cs="Arial"/>
          <w:b/>
          <w:bCs/>
          <w:sz w:val="22"/>
          <w:szCs w:val="22"/>
        </w:rPr>
        <w:t>.</w:t>
      </w:r>
    </w:p>
    <w:p w:rsidR="001A093C" w:rsidRPr="001A093C" w:rsidRDefault="001A093C" w:rsidP="001A093C">
      <w:pPr>
        <w:jc w:val="both"/>
        <w:rPr>
          <w:rFonts w:ascii="Arial" w:hAnsi="Arial" w:cs="Arial"/>
          <w:b/>
          <w:sz w:val="22"/>
          <w:szCs w:val="22"/>
          <w:lang w:val="es-ES_tradnl"/>
        </w:rPr>
      </w:pPr>
    </w:p>
    <w:p w:rsidR="004C1E59" w:rsidRPr="001A093C" w:rsidRDefault="004C1E59" w:rsidP="004C1E59">
      <w:pPr>
        <w:tabs>
          <w:tab w:val="left" w:pos="760"/>
        </w:tabs>
        <w:spacing w:line="276" w:lineRule="auto"/>
        <w:jc w:val="both"/>
        <w:rPr>
          <w:rFonts w:ascii="Arial" w:hAnsi="Arial" w:cs="Arial"/>
          <w:b/>
          <w:sz w:val="22"/>
          <w:szCs w:val="22"/>
          <w:lang w:val="es-ES_tradnl"/>
        </w:rPr>
      </w:pPr>
    </w:p>
    <w:p w:rsidR="004C1E59" w:rsidRPr="004C1E59" w:rsidRDefault="004C1E59" w:rsidP="004C1E59">
      <w:pPr>
        <w:tabs>
          <w:tab w:val="left" w:pos="760"/>
        </w:tabs>
        <w:spacing w:line="276" w:lineRule="auto"/>
        <w:jc w:val="both"/>
        <w:rPr>
          <w:rFonts w:ascii="Arial" w:hAnsi="Arial" w:cs="Arial"/>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1A093C" w:rsidRPr="00474B22" w:rsidTr="001D01D9">
        <w:trPr>
          <w:trHeight w:val="183"/>
        </w:trPr>
        <w:tc>
          <w:tcPr>
            <w:tcW w:w="4361" w:type="dxa"/>
          </w:tcPr>
          <w:p w:rsidR="001A093C" w:rsidRPr="00474B22" w:rsidRDefault="001A093C" w:rsidP="001D01D9">
            <w:pPr>
              <w:ind w:left="-567" w:firstLine="567"/>
              <w:jc w:val="both"/>
              <w:rPr>
                <w:rFonts w:ascii="Arial" w:eastAsia="Cambria" w:hAnsi="Arial" w:cs="Arial"/>
                <w:b/>
                <w:sz w:val="16"/>
                <w:szCs w:val="16"/>
                <w:lang w:val="es-ES_tradnl" w:eastAsia="en-US"/>
              </w:rPr>
            </w:pPr>
          </w:p>
        </w:tc>
        <w:tc>
          <w:tcPr>
            <w:tcW w:w="4361" w:type="dxa"/>
          </w:tcPr>
          <w:p w:rsidR="001A093C" w:rsidRPr="00474B22" w:rsidRDefault="001A093C" w:rsidP="001D01D9">
            <w:pPr>
              <w:jc w:val="both"/>
              <w:rPr>
                <w:rFonts w:ascii="Arial" w:eastAsia="Cambria" w:hAnsi="Arial" w:cs="Arial"/>
                <w:b/>
                <w:sz w:val="16"/>
                <w:szCs w:val="16"/>
                <w:lang w:val="es-ES_tradnl" w:eastAsia="en-US"/>
              </w:rPr>
            </w:pPr>
          </w:p>
        </w:tc>
        <w:tc>
          <w:tcPr>
            <w:tcW w:w="4361" w:type="dxa"/>
          </w:tcPr>
          <w:p w:rsidR="001A093C" w:rsidRPr="00474B22" w:rsidRDefault="001A093C" w:rsidP="001D01D9">
            <w:pPr>
              <w:jc w:val="both"/>
              <w:rPr>
                <w:rFonts w:ascii="Arial" w:eastAsia="Cambria" w:hAnsi="Arial" w:cs="Arial"/>
                <w:b/>
                <w:sz w:val="16"/>
                <w:szCs w:val="16"/>
                <w:lang w:val="es-ES_tradnl" w:eastAsia="en-US"/>
              </w:rPr>
            </w:pPr>
          </w:p>
        </w:tc>
        <w:tc>
          <w:tcPr>
            <w:tcW w:w="4361" w:type="dxa"/>
          </w:tcPr>
          <w:p w:rsidR="001A093C" w:rsidRPr="00474B22" w:rsidRDefault="001A093C" w:rsidP="001D01D9">
            <w:pPr>
              <w:jc w:val="both"/>
              <w:rPr>
                <w:rFonts w:ascii="Arial" w:eastAsia="Cambria" w:hAnsi="Arial" w:cs="Arial"/>
                <w:b/>
                <w:sz w:val="16"/>
                <w:szCs w:val="16"/>
                <w:lang w:val="es-ES_tradnl" w:eastAsia="en-US"/>
              </w:rPr>
            </w:pPr>
          </w:p>
        </w:tc>
        <w:tc>
          <w:tcPr>
            <w:tcW w:w="5103" w:type="dxa"/>
            <w:gridSpan w:val="2"/>
          </w:tcPr>
          <w:p w:rsidR="001A093C" w:rsidRPr="00474B22" w:rsidRDefault="001A093C" w:rsidP="001D01D9">
            <w:pPr>
              <w:jc w:val="both"/>
              <w:rPr>
                <w:rFonts w:ascii="Arial" w:eastAsia="Cambria" w:hAnsi="Arial" w:cs="Arial"/>
                <w:b/>
                <w:sz w:val="16"/>
                <w:szCs w:val="16"/>
                <w:lang w:val="es-ES_tradnl" w:eastAsia="en-US"/>
              </w:rPr>
            </w:pPr>
          </w:p>
        </w:tc>
      </w:tr>
      <w:tr w:rsidR="001A093C" w:rsidRPr="00474B22" w:rsidTr="001D01D9">
        <w:trPr>
          <w:gridAfter w:val="1"/>
          <w:wAfter w:w="4361" w:type="dxa"/>
          <w:trHeight w:val="183"/>
        </w:trPr>
        <w:tc>
          <w:tcPr>
            <w:tcW w:w="4361" w:type="dxa"/>
          </w:tcPr>
          <w:p w:rsidR="001A093C" w:rsidRDefault="001A093C" w:rsidP="001D01D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1A093C"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A093C" w:rsidRPr="00474B22"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A093C" w:rsidRPr="00474B22" w:rsidRDefault="001A093C" w:rsidP="001D01D9">
            <w:pPr>
              <w:ind w:left="-567" w:firstLine="567"/>
              <w:jc w:val="both"/>
              <w:rPr>
                <w:rFonts w:ascii="Arial" w:eastAsia="Cambria" w:hAnsi="Arial" w:cs="Arial"/>
                <w:b/>
                <w:sz w:val="16"/>
                <w:szCs w:val="16"/>
                <w:lang w:val="es-ES_tradnl" w:eastAsia="en-US"/>
              </w:rPr>
            </w:pPr>
          </w:p>
        </w:tc>
        <w:tc>
          <w:tcPr>
            <w:tcW w:w="4361" w:type="dxa"/>
          </w:tcPr>
          <w:p w:rsidR="001A093C" w:rsidRPr="00474B22" w:rsidRDefault="001A093C" w:rsidP="001D01D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1A093C" w:rsidRPr="00474B22" w:rsidRDefault="001A093C" w:rsidP="001D01D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1A093C" w:rsidRPr="00474B22" w:rsidRDefault="001A093C"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1A093C" w:rsidRPr="00474B22" w:rsidRDefault="001A093C"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1A093C" w:rsidRPr="00474B22" w:rsidRDefault="001A093C"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A093C" w:rsidRPr="00474B22" w:rsidRDefault="001A093C" w:rsidP="001D01D9">
            <w:pPr>
              <w:ind w:left="720" w:hanging="720"/>
              <w:jc w:val="both"/>
              <w:rPr>
                <w:rFonts w:ascii="Arial" w:eastAsia="Cambria" w:hAnsi="Arial" w:cs="Arial"/>
                <w:b/>
                <w:sz w:val="16"/>
                <w:szCs w:val="16"/>
                <w:lang w:val="es-CR" w:eastAsia="en-US"/>
              </w:rPr>
            </w:pPr>
          </w:p>
        </w:tc>
        <w:tc>
          <w:tcPr>
            <w:tcW w:w="4361" w:type="dxa"/>
          </w:tcPr>
          <w:p w:rsidR="001A093C" w:rsidRPr="00474B22" w:rsidRDefault="001A093C" w:rsidP="001D01D9">
            <w:pPr>
              <w:jc w:val="both"/>
              <w:rPr>
                <w:rFonts w:ascii="Arial" w:eastAsia="Cambria" w:hAnsi="Arial" w:cs="Arial"/>
                <w:b/>
                <w:sz w:val="16"/>
                <w:szCs w:val="16"/>
                <w:lang w:val="es-ES_tradnl" w:eastAsia="en-US"/>
              </w:rPr>
            </w:pPr>
          </w:p>
        </w:tc>
        <w:tc>
          <w:tcPr>
            <w:tcW w:w="5103" w:type="dxa"/>
            <w:gridSpan w:val="2"/>
          </w:tcPr>
          <w:p w:rsidR="001A093C" w:rsidRPr="00474B22" w:rsidRDefault="001A093C" w:rsidP="001D01D9">
            <w:pPr>
              <w:jc w:val="both"/>
              <w:rPr>
                <w:rFonts w:ascii="Arial" w:eastAsia="Cambria" w:hAnsi="Arial" w:cs="Arial"/>
                <w:b/>
                <w:sz w:val="16"/>
                <w:szCs w:val="16"/>
                <w:lang w:val="es-ES_tradnl" w:eastAsia="en-US"/>
              </w:rPr>
            </w:pPr>
          </w:p>
        </w:tc>
      </w:tr>
    </w:tbl>
    <w:p w:rsidR="00276A4B" w:rsidRDefault="00276A4B" w:rsidP="0041439E">
      <w:pPr>
        <w:jc w:val="both"/>
        <w:rPr>
          <w:rFonts w:ascii="Arial" w:hAnsi="Arial" w:cs="Arial"/>
          <w:b/>
          <w:lang w:val="es-CR"/>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6D9" w:rsidRDefault="008256D9">
      <w:r>
        <w:separator/>
      </w:r>
    </w:p>
  </w:endnote>
  <w:endnote w:type="continuationSeparator" w:id="0">
    <w:p w:rsidR="008256D9" w:rsidRDefault="008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6D9" w:rsidRDefault="008256D9">
      <w:r>
        <w:separator/>
      </w:r>
    </w:p>
  </w:footnote>
  <w:footnote w:type="continuationSeparator" w:id="0">
    <w:p w:rsidR="008256D9" w:rsidRDefault="0082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276A4B">
      <w:rPr>
        <w:rFonts w:ascii="Arial" w:eastAsia="Cambria" w:hAnsi="Arial" w:cs="Arial"/>
        <w:i/>
        <w:sz w:val="18"/>
        <w:szCs w:val="18"/>
        <w:lang w:val="es-ES_tradnl" w:eastAsia="x-none"/>
      </w:rPr>
      <w:t>5</w:t>
    </w:r>
    <w:r w:rsidR="00796B12">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1A093C">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C1E59">
      <w:rPr>
        <w:rFonts w:ascii="Arial" w:eastAsia="Cambria" w:hAnsi="Arial" w:cs="Arial"/>
        <w:i/>
        <w:sz w:val="18"/>
        <w:szCs w:val="18"/>
        <w:lang w:val="es-ES_tradnl" w:eastAsia="x-none"/>
      </w:rPr>
      <w:t>1</w:t>
    </w:r>
    <w:r w:rsidR="00796B12">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e</w:t>
    </w:r>
    <w:r w:rsidR="00796B12">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796B12">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5302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C3F2D"/>
    <w:multiLevelType w:val="hybridMultilevel"/>
    <w:tmpl w:val="DC6A7F8C"/>
    <w:lvl w:ilvl="0" w:tplc="986CF6F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0AF3D51"/>
    <w:multiLevelType w:val="hybridMultilevel"/>
    <w:tmpl w:val="25627F24"/>
    <w:lvl w:ilvl="0" w:tplc="140A000F">
      <w:start w:val="1"/>
      <w:numFmt w:val="decimal"/>
      <w:lvlText w:val="%1."/>
      <w:lvlJc w:val="left"/>
      <w:pPr>
        <w:ind w:left="1414" w:hanging="705"/>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046ACD"/>
    <w:multiLevelType w:val="hybridMultilevel"/>
    <w:tmpl w:val="1844495A"/>
    <w:lvl w:ilvl="0" w:tplc="986CF6F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581620D"/>
    <w:multiLevelType w:val="hybridMultilevel"/>
    <w:tmpl w:val="6C06ADBC"/>
    <w:lvl w:ilvl="0" w:tplc="E80EE3CA">
      <w:start w:val="1"/>
      <w:numFmt w:val="decimal"/>
      <w:lvlText w:val="%1."/>
      <w:lvlJc w:val="left"/>
      <w:pPr>
        <w:tabs>
          <w:tab w:val="num" w:pos="360"/>
        </w:tabs>
        <w:ind w:left="360" w:hanging="360"/>
      </w:pPr>
      <w:rPr>
        <w:rFonts w:ascii="Arial" w:hAnsi="Arial" w:hint="default"/>
        <w:b/>
        <w:i w:val="0"/>
        <w:sz w:val="24"/>
      </w:rPr>
    </w:lvl>
    <w:lvl w:ilvl="1" w:tplc="9A400F50">
      <w:start w:val="1"/>
      <w:numFmt w:val="decimal"/>
      <w:lvlText w:val="%2."/>
      <w:lvlJc w:val="left"/>
      <w:pPr>
        <w:tabs>
          <w:tab w:val="num" w:pos="1440"/>
        </w:tabs>
        <w:ind w:left="1440" w:hanging="360"/>
      </w:pPr>
      <w:rPr>
        <w:rFonts w:hint="default"/>
        <w:b/>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6575C6"/>
    <w:multiLevelType w:val="hybridMultilevel"/>
    <w:tmpl w:val="FF1ED006"/>
    <w:lvl w:ilvl="0" w:tplc="140A0019">
      <w:start w:val="1"/>
      <w:numFmt w:val="lowerLetter"/>
      <w:lvlText w:val="%1."/>
      <w:lvlJc w:val="left"/>
      <w:pPr>
        <w:tabs>
          <w:tab w:val="num" w:pos="360"/>
        </w:tabs>
        <w:ind w:left="360" w:hanging="360"/>
      </w:pPr>
      <w:rPr>
        <w:rFonts w:hint="default"/>
        <w:b/>
        <w:i w:val="0"/>
        <w:sz w:val="22"/>
        <w:szCs w:val="22"/>
      </w:rPr>
    </w:lvl>
    <w:lvl w:ilvl="1" w:tplc="5F2C7E8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365B0D"/>
    <w:multiLevelType w:val="hybridMultilevel"/>
    <w:tmpl w:val="AC223EA8"/>
    <w:lvl w:ilvl="0" w:tplc="CD327388">
      <w:start w:val="1"/>
      <w:numFmt w:val="decimal"/>
      <w:lvlText w:val="%1."/>
      <w:lvlJc w:val="left"/>
      <w:pPr>
        <w:tabs>
          <w:tab w:val="num" w:pos="720"/>
        </w:tabs>
        <w:ind w:left="720" w:hanging="360"/>
      </w:pPr>
      <w:rPr>
        <w:rFonts w:hint="default"/>
        <w:b/>
        <w:i w:val="0"/>
        <w:sz w:val="20"/>
        <w:szCs w:val="20"/>
      </w:rPr>
    </w:lvl>
    <w:lvl w:ilvl="1" w:tplc="A7DEA250">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8260ED8"/>
    <w:multiLevelType w:val="hybridMultilevel"/>
    <w:tmpl w:val="AC223EA8"/>
    <w:lvl w:ilvl="0" w:tplc="CD327388">
      <w:start w:val="1"/>
      <w:numFmt w:val="decimal"/>
      <w:lvlText w:val="%1."/>
      <w:lvlJc w:val="left"/>
      <w:pPr>
        <w:tabs>
          <w:tab w:val="num" w:pos="720"/>
        </w:tabs>
        <w:ind w:left="720" w:hanging="360"/>
      </w:pPr>
      <w:rPr>
        <w:rFonts w:hint="default"/>
        <w:b/>
        <w:i w:val="0"/>
        <w:sz w:val="20"/>
        <w:szCs w:val="20"/>
      </w:rPr>
    </w:lvl>
    <w:lvl w:ilvl="1" w:tplc="A7DEA250">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B6D67B2"/>
    <w:multiLevelType w:val="multilevel"/>
    <w:tmpl w:val="EB4EB07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C57DB2"/>
    <w:multiLevelType w:val="hybridMultilevel"/>
    <w:tmpl w:val="36C45368"/>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24B47D36">
      <w:start w:val="1"/>
      <w:numFmt w:val="decimal"/>
      <w:lvlText w:val="%2."/>
      <w:lvlJc w:val="left"/>
      <w:pPr>
        <w:tabs>
          <w:tab w:val="num" w:pos="8102"/>
        </w:tabs>
        <w:ind w:left="8102" w:hanging="360"/>
      </w:pPr>
      <w:rPr>
        <w:rFonts w:ascii="Arial" w:hAnsi="Arial" w:hint="default"/>
        <w:b/>
        <w:i w:val="0"/>
        <w:sz w:val="24"/>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3E90F5B"/>
    <w:multiLevelType w:val="multilevel"/>
    <w:tmpl w:val="7BE0B3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037B2F"/>
    <w:multiLevelType w:val="hybridMultilevel"/>
    <w:tmpl w:val="D742BEB8"/>
    <w:lvl w:ilvl="0" w:tplc="4FE2F74E">
      <w:start w:val="1"/>
      <w:numFmt w:val="decimal"/>
      <w:lvlText w:val="%1."/>
      <w:lvlJc w:val="left"/>
      <w:pPr>
        <w:ind w:left="720" w:hanging="360"/>
      </w:pPr>
      <w:rPr>
        <w:rFonts w:ascii="Arial" w:hAnsi="Arial" w:cs="Arial" w:hint="default"/>
        <w:b/>
        <w:i w:val="0"/>
        <w:strike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4C487B"/>
    <w:multiLevelType w:val="hybridMultilevel"/>
    <w:tmpl w:val="F6000CDE"/>
    <w:lvl w:ilvl="0" w:tplc="B6CC5F50">
      <w:start w:val="1"/>
      <w:numFmt w:val="lowerLetter"/>
      <w:lvlText w:val="%1)"/>
      <w:lvlJc w:val="left"/>
      <w:pPr>
        <w:ind w:left="1414" w:hanging="705"/>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A719EA"/>
    <w:multiLevelType w:val="multilevel"/>
    <w:tmpl w:val="D318F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E45F6A"/>
    <w:multiLevelType w:val="hybridMultilevel"/>
    <w:tmpl w:val="B068F86A"/>
    <w:lvl w:ilvl="0" w:tplc="B16AB0D2">
      <w:start w:val="2"/>
      <w:numFmt w:val="decimal"/>
      <w:lvlText w:val="%1."/>
      <w:lvlJc w:val="left"/>
      <w:pPr>
        <w:ind w:left="720" w:hanging="360"/>
      </w:pPr>
      <w:rPr>
        <w:rFonts w:ascii="Arial" w:hAnsi="Arial" w:cs="Arial" w:hint="default"/>
        <w:b/>
        <w:i w:val="0"/>
        <w:strike w:val="0"/>
        <w:color w:val="auto"/>
        <w:sz w:val="24"/>
        <w:szCs w:val="24"/>
      </w:rPr>
    </w:lvl>
    <w:lvl w:ilvl="1" w:tplc="CBC4D172">
      <w:start w:val="1"/>
      <w:numFmt w:val="lowerLetter"/>
      <w:lvlText w:val="%2."/>
      <w:lvlJc w:val="left"/>
      <w:pPr>
        <w:ind w:left="1440" w:hanging="360"/>
      </w:pPr>
      <w:rPr>
        <w:b/>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F5656A5"/>
    <w:multiLevelType w:val="multilevel"/>
    <w:tmpl w:val="7D185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17"/>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3"/>
  </w:num>
  <w:num w:numId="12">
    <w:abstractNumId w:val="10"/>
  </w:num>
  <w:num w:numId="13">
    <w:abstractNumId w:val="13"/>
  </w:num>
  <w:num w:numId="14">
    <w:abstractNumId w:val="14"/>
  </w:num>
  <w:num w:numId="15">
    <w:abstractNumId w:val="6"/>
  </w:num>
  <w:num w:numId="16">
    <w:abstractNumId w:val="8"/>
  </w:num>
  <w:num w:numId="17">
    <w:abstractNumId w:val="9"/>
  </w:num>
  <w:num w:numId="18">
    <w:abstractNumId w:val="11"/>
  </w:num>
  <w:num w:numId="19">
    <w:abstractNumId w:val="1"/>
  </w:num>
  <w:num w:numId="20">
    <w:abstractNumId w:val="5"/>
  </w:num>
  <w:num w:numId="21">
    <w:abstractNumId w:val="18"/>
  </w:num>
  <w:num w:numId="22">
    <w:abstractNumId w:val="2"/>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40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093C"/>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67F"/>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76A4B"/>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5120"/>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1E59"/>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27C"/>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39E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1FB"/>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5BD7"/>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96B12"/>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6D9"/>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503"/>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00C"/>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69DA"/>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061E8"/>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158"/>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0F00"/>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02B"/>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2D32"/>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B009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214F-1C24-42C7-998E-CCF20A75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11</Pages>
  <Words>3231</Words>
  <Characters>17773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196</cp:revision>
  <cp:lastPrinted>2017-12-14T14:13:00Z</cp:lastPrinted>
  <dcterms:created xsi:type="dcterms:W3CDTF">2016-10-05T20:00:00Z</dcterms:created>
  <dcterms:modified xsi:type="dcterms:W3CDTF">2018-01-18T15:20:00Z</dcterms:modified>
</cp:coreProperties>
</file>