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C041A7">
        <w:rPr>
          <w:rFonts w:ascii="Arial" w:hAnsi="Arial" w:cs="Arial"/>
          <w:b/>
          <w:bCs/>
          <w:iCs/>
          <w:sz w:val="26"/>
          <w:szCs w:val="22"/>
          <w:lang w:val="es-CR"/>
        </w:rPr>
        <w:t>468</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Default="00F5243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C041A7" w:rsidRDefault="00C041A7"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Vicerrector de Administración</w:t>
            </w:r>
          </w:p>
          <w:p w:rsidR="00C041A7" w:rsidRDefault="00C041A7"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Ing. Alfredo Villarreal Rodríguez, Director DATIC </w:t>
            </w:r>
          </w:p>
          <w:p w:rsidR="00AB7C61" w:rsidRDefault="00AB7C61"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M.A.E. Marcel Hernández Mora, Director </w:t>
            </w:r>
            <w:proofErr w:type="spellStart"/>
            <w:r>
              <w:rPr>
                <w:rFonts w:ascii="Arial" w:eastAsia="Cambria" w:hAnsi="Arial" w:cs="Arial"/>
                <w:sz w:val="22"/>
                <w:szCs w:val="22"/>
                <w:lang w:val="es-ES_tradnl" w:eastAsia="en-US"/>
              </w:rPr>
              <w:t>a.i.</w:t>
            </w:r>
            <w:proofErr w:type="spellEnd"/>
            <w:r>
              <w:rPr>
                <w:rFonts w:ascii="Arial" w:eastAsia="Cambria" w:hAnsi="Arial" w:cs="Arial"/>
                <w:sz w:val="22"/>
                <w:szCs w:val="22"/>
                <w:lang w:val="es-ES_tradnl" w:eastAsia="en-US"/>
              </w:rPr>
              <w:t xml:space="preserve"> Oficina de Planificación Institucional</w:t>
            </w:r>
            <w:bookmarkStart w:id="0" w:name="_GoBack"/>
            <w:bookmarkEnd w:id="0"/>
          </w:p>
          <w:p w:rsidR="001A7DF9" w:rsidRPr="008E0D8C" w:rsidRDefault="001A7DF9" w:rsidP="00E15F0C">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F5243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E15F0C">
              <w:rPr>
                <w:rFonts w:ascii="Arial" w:eastAsia="Cambria" w:hAnsi="Arial" w:cs="Arial"/>
                <w:b/>
                <w:sz w:val="22"/>
                <w:szCs w:val="22"/>
                <w:lang w:val="es-ES_tradnl" w:eastAsia="en-US"/>
              </w:rPr>
              <w:t>7</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0A0FF7">
              <w:rPr>
                <w:rFonts w:ascii="Arial" w:eastAsia="Cambria" w:hAnsi="Arial" w:cs="Arial"/>
                <w:b/>
                <w:sz w:val="22"/>
                <w:szCs w:val="22"/>
                <w:lang w:val="es-ES_tradnl" w:eastAsia="en-US"/>
              </w:rPr>
              <w:t>junio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C041A7" w:rsidRDefault="00FF209C" w:rsidP="00F458B3">
            <w:pPr>
              <w:ind w:right="407"/>
              <w:jc w:val="both"/>
              <w:rPr>
                <w:rFonts w:ascii="Arial" w:hAnsi="Arial" w:cs="Arial"/>
                <w:b/>
                <w:sz w:val="22"/>
                <w:szCs w:val="22"/>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Pr="00FF209C">
              <w:rPr>
                <w:rFonts w:ascii="Arial" w:eastAsia="Calibri" w:hAnsi="Arial" w:cs="Arial"/>
                <w:b/>
                <w:sz w:val="22"/>
                <w:szCs w:val="22"/>
              </w:rPr>
              <w:t>7</w:t>
            </w:r>
            <w:r w:rsidR="00E15F0C">
              <w:rPr>
                <w:rFonts w:ascii="Arial" w:eastAsia="Calibri" w:hAnsi="Arial" w:cs="Arial"/>
                <w:b/>
                <w:sz w:val="22"/>
                <w:szCs w:val="22"/>
              </w:rPr>
              <w:t>8</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E15F0C">
              <w:rPr>
                <w:rFonts w:ascii="Arial" w:eastAsia="Calibri" w:hAnsi="Arial" w:cs="Arial"/>
                <w:b/>
                <w:sz w:val="22"/>
                <w:szCs w:val="22"/>
              </w:rPr>
              <w:t>1</w:t>
            </w:r>
            <w:r w:rsidR="00C041A7">
              <w:rPr>
                <w:rFonts w:ascii="Arial" w:eastAsia="Calibri" w:hAnsi="Arial" w:cs="Arial"/>
                <w:b/>
                <w:sz w:val="22"/>
                <w:szCs w:val="22"/>
              </w:rPr>
              <w:t>6</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E15F0C">
              <w:rPr>
                <w:rFonts w:ascii="Arial" w:eastAsia="Calibri" w:hAnsi="Arial" w:cs="Arial"/>
                <w:b/>
                <w:sz w:val="22"/>
                <w:szCs w:val="22"/>
              </w:rPr>
              <w:t>27</w:t>
            </w:r>
            <w:r w:rsidR="001E1E49">
              <w:rPr>
                <w:rFonts w:ascii="Arial" w:eastAsia="Calibri" w:hAnsi="Arial" w:cs="Arial"/>
                <w:b/>
                <w:sz w:val="22"/>
                <w:szCs w:val="22"/>
              </w:rPr>
              <w:t xml:space="preserve"> </w:t>
            </w:r>
            <w:r w:rsidR="000A0FF7">
              <w:rPr>
                <w:rFonts w:ascii="Arial" w:eastAsia="Calibri" w:hAnsi="Arial" w:cs="Arial"/>
                <w:b/>
                <w:sz w:val="22"/>
                <w:szCs w:val="22"/>
              </w:rPr>
              <w:t xml:space="preserve">de junio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C041A7" w:rsidRPr="00C041A7">
              <w:rPr>
                <w:rFonts w:ascii="Arial" w:hAnsi="Arial" w:cs="Arial"/>
                <w:b/>
                <w:sz w:val="22"/>
                <w:szCs w:val="22"/>
              </w:rPr>
              <w:t>Modificación del Plan Anual Operativo 2018, producto del Presupuesto Extraordinario 1- 2018 para la modificación de la meta 5.1.1.4</w:t>
            </w:r>
          </w:p>
        </w:tc>
      </w:tr>
    </w:tbl>
    <w:p w:rsidR="00FF209C" w:rsidRDefault="00FF209C" w:rsidP="007742A1">
      <w:pPr>
        <w:jc w:val="both"/>
        <w:rPr>
          <w:rFonts w:ascii="Arial" w:eastAsia="Cambria" w:hAnsi="Arial" w:cs="Arial"/>
          <w:lang w:val="es-ES_tradnl" w:eastAsia="en-US"/>
        </w:rPr>
      </w:pPr>
    </w:p>
    <w:p w:rsidR="002B4AA8" w:rsidRDefault="007742A1" w:rsidP="00C041A7">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C041A7" w:rsidRDefault="00C041A7" w:rsidP="00C041A7">
      <w:pPr>
        <w:jc w:val="both"/>
        <w:rPr>
          <w:rFonts w:ascii="Arial" w:eastAsia="Cambria" w:hAnsi="Arial" w:cs="Arial"/>
          <w:lang w:val="es-ES_tradnl" w:eastAsia="en-US"/>
        </w:rPr>
      </w:pPr>
    </w:p>
    <w:p w:rsidR="00C041A7" w:rsidRPr="00C041A7" w:rsidRDefault="00C041A7" w:rsidP="00C041A7">
      <w:pPr>
        <w:jc w:val="both"/>
        <w:rPr>
          <w:rFonts w:ascii="Arial" w:hAnsi="Arial" w:cs="Arial"/>
          <w:b/>
        </w:rPr>
      </w:pPr>
      <w:r w:rsidRPr="00C041A7">
        <w:rPr>
          <w:rFonts w:ascii="Arial" w:hAnsi="Arial" w:cs="Arial"/>
          <w:b/>
        </w:rPr>
        <w:t xml:space="preserve">RESULTANDO QUE: </w:t>
      </w:r>
    </w:p>
    <w:p w:rsidR="00C041A7" w:rsidRPr="00C041A7" w:rsidRDefault="00C041A7" w:rsidP="00C041A7">
      <w:pPr>
        <w:ind w:left="1440" w:hanging="1440"/>
        <w:jc w:val="both"/>
        <w:rPr>
          <w:rFonts w:ascii="Arial" w:hAnsi="Arial" w:cs="Arial"/>
          <w:b/>
          <w:i/>
          <w:caps/>
          <w:sz w:val="16"/>
          <w:szCs w:val="20"/>
        </w:rPr>
      </w:pPr>
    </w:p>
    <w:p w:rsidR="00C041A7" w:rsidRPr="00C041A7" w:rsidRDefault="00C041A7" w:rsidP="00C041A7">
      <w:pPr>
        <w:numPr>
          <w:ilvl w:val="0"/>
          <w:numId w:val="41"/>
        </w:numPr>
        <w:ind w:left="364"/>
        <w:contextualSpacing/>
        <w:rPr>
          <w:rFonts w:ascii="Arial" w:hAnsi="Arial" w:cs="Arial"/>
        </w:rPr>
      </w:pPr>
      <w:r w:rsidRPr="00C041A7">
        <w:rPr>
          <w:rFonts w:ascii="Arial" w:hAnsi="Arial" w:cs="Arial"/>
        </w:rPr>
        <w:t>El Estatuto Orgánico del Instituto Tecnológico de Costa Rica, en su Artículo 18, establece lo siguiente:</w:t>
      </w:r>
    </w:p>
    <w:p w:rsidR="00C041A7" w:rsidRPr="00C041A7" w:rsidRDefault="00C041A7" w:rsidP="00C041A7">
      <w:pPr>
        <w:ind w:left="720"/>
        <w:contextualSpacing/>
        <w:rPr>
          <w:rFonts w:ascii="Arial" w:hAnsi="Arial" w:cs="Arial"/>
          <w:i/>
          <w:sz w:val="16"/>
          <w:szCs w:val="20"/>
        </w:rPr>
      </w:pPr>
    </w:p>
    <w:p w:rsidR="00C041A7" w:rsidRPr="00C041A7" w:rsidRDefault="00C041A7" w:rsidP="00C041A7">
      <w:pPr>
        <w:ind w:left="720"/>
        <w:contextualSpacing/>
        <w:rPr>
          <w:rFonts w:ascii="Arial" w:hAnsi="Arial" w:cs="Arial"/>
          <w:i/>
          <w:sz w:val="22"/>
          <w:szCs w:val="22"/>
        </w:rPr>
      </w:pPr>
      <w:r w:rsidRPr="00C041A7">
        <w:rPr>
          <w:rFonts w:ascii="Arial" w:hAnsi="Arial" w:cs="Arial"/>
          <w:i/>
          <w:sz w:val="22"/>
          <w:szCs w:val="22"/>
        </w:rPr>
        <w:t>“Artículo 18:   Son funciones del Consejo Institucional</w:t>
      </w:r>
    </w:p>
    <w:p w:rsidR="00C041A7" w:rsidRPr="00C041A7" w:rsidRDefault="00C041A7" w:rsidP="00C041A7">
      <w:pPr>
        <w:ind w:left="720"/>
        <w:contextualSpacing/>
        <w:rPr>
          <w:rFonts w:ascii="Arial" w:hAnsi="Arial" w:cs="Arial"/>
          <w:i/>
          <w:sz w:val="22"/>
          <w:szCs w:val="22"/>
        </w:rPr>
      </w:pPr>
      <w:r w:rsidRPr="00C041A7">
        <w:rPr>
          <w:rFonts w:ascii="Arial" w:hAnsi="Arial" w:cs="Arial"/>
          <w:i/>
          <w:sz w:val="22"/>
          <w:szCs w:val="22"/>
        </w:rPr>
        <w:t>…</w:t>
      </w:r>
    </w:p>
    <w:p w:rsidR="00C041A7" w:rsidRPr="00C041A7" w:rsidRDefault="00C041A7" w:rsidP="00C041A7">
      <w:pPr>
        <w:ind w:left="720"/>
        <w:contextualSpacing/>
        <w:rPr>
          <w:rFonts w:ascii="Arial" w:hAnsi="Arial" w:cs="Arial"/>
          <w:i/>
          <w:sz w:val="22"/>
          <w:szCs w:val="22"/>
        </w:rPr>
      </w:pPr>
    </w:p>
    <w:p w:rsidR="00C041A7" w:rsidRPr="00C041A7" w:rsidRDefault="00C041A7" w:rsidP="00C041A7">
      <w:pPr>
        <w:ind w:left="720"/>
        <w:jc w:val="both"/>
        <w:rPr>
          <w:rFonts w:ascii="Arial" w:hAnsi="Arial" w:cs="Arial"/>
          <w:i/>
          <w:sz w:val="22"/>
          <w:szCs w:val="22"/>
        </w:rPr>
      </w:pPr>
      <w:r w:rsidRPr="00C041A7">
        <w:rPr>
          <w:rFonts w:ascii="Arial" w:hAnsi="Arial" w:cs="Arial"/>
          <w:i/>
          <w:sz w:val="22"/>
          <w:szCs w:val="22"/>
        </w:rPr>
        <w:t>b. Aprobar el Plan estratégico institucional y los Planes anuales operativos, el presupuesto del Instituto, y los indicadores de gestión, de acuerdo con lo establecido en el Estatuto Orgánico y en la reglamentación respectiva.</w:t>
      </w:r>
    </w:p>
    <w:p w:rsidR="00C041A7" w:rsidRPr="00C041A7" w:rsidRDefault="00C041A7" w:rsidP="00C041A7">
      <w:pPr>
        <w:ind w:left="720"/>
        <w:contextualSpacing/>
        <w:rPr>
          <w:rFonts w:ascii="Arial" w:hAnsi="Arial" w:cs="Arial"/>
          <w:i/>
          <w:sz w:val="22"/>
          <w:szCs w:val="22"/>
        </w:rPr>
      </w:pPr>
    </w:p>
    <w:p w:rsidR="00C041A7" w:rsidRPr="00C041A7" w:rsidRDefault="00C041A7" w:rsidP="00C041A7">
      <w:pPr>
        <w:ind w:left="720"/>
        <w:contextualSpacing/>
        <w:rPr>
          <w:rFonts w:ascii="Arial" w:hAnsi="Arial" w:cs="Arial"/>
          <w:i/>
          <w:sz w:val="22"/>
          <w:szCs w:val="22"/>
        </w:rPr>
      </w:pPr>
      <w:r w:rsidRPr="00C041A7">
        <w:rPr>
          <w:rFonts w:ascii="Arial" w:hAnsi="Arial" w:cs="Arial"/>
          <w:i/>
          <w:sz w:val="22"/>
          <w:szCs w:val="22"/>
        </w:rPr>
        <w:t>Artículo 26: Son funciones del Rector:</w:t>
      </w:r>
    </w:p>
    <w:p w:rsidR="00C041A7" w:rsidRPr="00C041A7" w:rsidRDefault="00C041A7" w:rsidP="00C041A7">
      <w:pPr>
        <w:ind w:left="720"/>
        <w:contextualSpacing/>
        <w:rPr>
          <w:rFonts w:ascii="Arial" w:hAnsi="Arial" w:cs="Arial"/>
          <w:i/>
          <w:sz w:val="22"/>
          <w:szCs w:val="22"/>
        </w:rPr>
      </w:pPr>
      <w:r w:rsidRPr="00C041A7">
        <w:rPr>
          <w:rFonts w:ascii="Arial" w:hAnsi="Arial" w:cs="Arial"/>
          <w:i/>
          <w:sz w:val="22"/>
          <w:szCs w:val="22"/>
        </w:rPr>
        <w:t>…</w:t>
      </w:r>
    </w:p>
    <w:p w:rsidR="00C041A7" w:rsidRPr="00C041A7" w:rsidRDefault="00C041A7" w:rsidP="00C041A7">
      <w:pPr>
        <w:ind w:left="720"/>
        <w:contextualSpacing/>
        <w:rPr>
          <w:rFonts w:ascii="Arial" w:hAnsi="Arial" w:cs="Arial"/>
          <w:i/>
          <w:sz w:val="22"/>
          <w:szCs w:val="22"/>
        </w:rPr>
      </w:pPr>
    </w:p>
    <w:p w:rsidR="00C041A7" w:rsidRPr="00C041A7" w:rsidRDefault="00C041A7" w:rsidP="00C041A7">
      <w:pPr>
        <w:ind w:left="720"/>
        <w:jc w:val="both"/>
        <w:rPr>
          <w:rFonts w:ascii="Arial" w:hAnsi="Arial" w:cs="Arial"/>
          <w:i/>
          <w:sz w:val="22"/>
          <w:szCs w:val="22"/>
        </w:rPr>
      </w:pPr>
      <w:r w:rsidRPr="00C041A7">
        <w:rPr>
          <w:rFonts w:ascii="Arial" w:hAnsi="Arial" w:cs="Arial"/>
          <w:i/>
          <w:sz w:val="22"/>
          <w:szCs w:val="22"/>
        </w:rPr>
        <w:t>q. Someter a aprobación del Consejo Institucional el proyecto de presupuesto y sus modificaciones, así como los planes de desarrollo de largo, mediano y corto plazo.”</w:t>
      </w:r>
    </w:p>
    <w:p w:rsidR="00C041A7" w:rsidRPr="00C041A7" w:rsidRDefault="00C041A7" w:rsidP="00C041A7">
      <w:pPr>
        <w:ind w:left="1440"/>
        <w:contextualSpacing/>
        <w:rPr>
          <w:rFonts w:ascii="Arial" w:hAnsi="Arial" w:cs="Arial"/>
          <w:sz w:val="16"/>
          <w:szCs w:val="20"/>
        </w:rPr>
      </w:pPr>
    </w:p>
    <w:p w:rsidR="00C041A7" w:rsidRPr="00C041A7" w:rsidRDefault="00C041A7" w:rsidP="00C041A7">
      <w:pPr>
        <w:numPr>
          <w:ilvl w:val="0"/>
          <w:numId w:val="41"/>
        </w:numPr>
        <w:ind w:left="364"/>
        <w:contextualSpacing/>
        <w:jc w:val="both"/>
        <w:rPr>
          <w:rFonts w:ascii="Arial" w:hAnsi="Arial" w:cs="Arial"/>
        </w:rPr>
      </w:pPr>
      <w:r w:rsidRPr="00C041A7">
        <w:rPr>
          <w:rFonts w:ascii="Arial" w:hAnsi="Arial" w:cs="Arial"/>
        </w:rPr>
        <w:t>El Consejo Institucional, en su Sesión Ordinaria No. 3040, Artículo 10, del 28 de setiembre de 2017, aprobó el Presupuesto Ordinario 2018 y Vinculación con el Plan Anual Operativo 2018.</w:t>
      </w:r>
    </w:p>
    <w:p w:rsidR="00C041A7" w:rsidRPr="00C041A7" w:rsidRDefault="00C041A7" w:rsidP="00C041A7">
      <w:pPr>
        <w:ind w:left="709"/>
        <w:jc w:val="both"/>
        <w:rPr>
          <w:rFonts w:ascii="Arial" w:eastAsia="Calibri" w:hAnsi="Arial" w:cs="Arial"/>
          <w:sz w:val="18"/>
          <w:szCs w:val="22"/>
          <w:lang w:val="es-CR"/>
        </w:rPr>
      </w:pPr>
    </w:p>
    <w:p w:rsidR="00C041A7" w:rsidRPr="00C041A7" w:rsidRDefault="00C041A7" w:rsidP="00C041A7">
      <w:pPr>
        <w:numPr>
          <w:ilvl w:val="0"/>
          <w:numId w:val="41"/>
        </w:numPr>
        <w:ind w:left="364"/>
        <w:contextualSpacing/>
        <w:jc w:val="both"/>
        <w:rPr>
          <w:rFonts w:ascii="Arial" w:hAnsi="Arial" w:cs="Arial"/>
        </w:rPr>
      </w:pPr>
      <w:r w:rsidRPr="00C041A7">
        <w:rPr>
          <w:rFonts w:ascii="Arial" w:hAnsi="Arial" w:cs="Arial"/>
        </w:rPr>
        <w:t>Las Disposiciones para la Formulación Presupuestaria del Instituto Tecnológico de Costa Rica para el 2018, aprobadas por el Consejo Institucional en la Sesión Ordinaria No. 3016, Artículo 11, del 29 de marzo de 2017, establecen:</w:t>
      </w:r>
    </w:p>
    <w:p w:rsidR="00C041A7" w:rsidRPr="00C041A7" w:rsidRDefault="00C041A7" w:rsidP="00C041A7">
      <w:pPr>
        <w:jc w:val="both"/>
        <w:rPr>
          <w:rFonts w:ascii="Arial" w:eastAsia="Calibri" w:hAnsi="Arial" w:cs="Arial"/>
          <w:b/>
          <w:i/>
          <w:sz w:val="16"/>
          <w:szCs w:val="16"/>
          <w:lang w:val="es-CR"/>
        </w:rPr>
      </w:pPr>
      <w:r w:rsidRPr="00C041A7">
        <w:rPr>
          <w:rFonts w:ascii="Arial" w:eastAsia="Calibri" w:hAnsi="Arial" w:cs="Arial"/>
          <w:b/>
          <w:i/>
          <w:sz w:val="16"/>
          <w:szCs w:val="16"/>
          <w:lang w:val="es-CR"/>
        </w:rPr>
        <w:t xml:space="preserve">   </w:t>
      </w:r>
    </w:p>
    <w:p w:rsidR="00C041A7" w:rsidRPr="00C041A7" w:rsidRDefault="00C041A7" w:rsidP="00C041A7">
      <w:pPr>
        <w:ind w:left="1418" w:right="417" w:hanging="709"/>
        <w:jc w:val="both"/>
        <w:rPr>
          <w:rFonts w:ascii="Arial" w:hAnsi="Arial" w:cs="Arial"/>
          <w:sz w:val="20"/>
          <w:szCs w:val="20"/>
          <w:lang w:val="es-CR" w:eastAsia="es-CR"/>
        </w:rPr>
      </w:pPr>
      <w:r w:rsidRPr="00C041A7">
        <w:rPr>
          <w:rFonts w:ascii="Arial" w:hAnsi="Arial" w:cs="Arial"/>
          <w:sz w:val="20"/>
          <w:szCs w:val="20"/>
          <w:lang w:val="es-CR" w:eastAsia="es-CR"/>
        </w:rPr>
        <w:t>“</w:t>
      </w:r>
      <w:r w:rsidRPr="00C041A7">
        <w:rPr>
          <w:rFonts w:ascii="Arial" w:hAnsi="Arial" w:cs="Arial"/>
          <w:i/>
          <w:sz w:val="22"/>
          <w:szCs w:val="22"/>
        </w:rPr>
        <w:t xml:space="preserve">1.3.   </w:t>
      </w:r>
      <w:r w:rsidRPr="00C041A7">
        <w:rPr>
          <w:rFonts w:ascii="Arial" w:hAnsi="Arial" w:cs="Arial"/>
          <w:i/>
          <w:sz w:val="22"/>
          <w:szCs w:val="22"/>
        </w:rPr>
        <w:tab/>
        <w:t xml:space="preserve">La Formulación del Plan Anual Operativo y Presupuesto se basará en el planeamiento que presente la Rectoría en </w:t>
      </w:r>
      <w:proofErr w:type="spellStart"/>
      <w:r w:rsidRPr="00C041A7">
        <w:rPr>
          <w:rFonts w:ascii="Arial" w:hAnsi="Arial" w:cs="Arial"/>
          <w:i/>
          <w:sz w:val="22"/>
          <w:szCs w:val="22"/>
        </w:rPr>
        <w:t>coadyuvancia</w:t>
      </w:r>
      <w:proofErr w:type="spellEnd"/>
      <w:r w:rsidRPr="00C041A7">
        <w:rPr>
          <w:rFonts w:ascii="Arial" w:hAnsi="Arial" w:cs="Arial"/>
          <w:i/>
          <w:sz w:val="22"/>
          <w:szCs w:val="22"/>
        </w:rPr>
        <w:t xml:space="preserve"> con los Vicerrectores, Director de Sede Regional y Directores de Centros Académicos en colaboración con sus equipos de apoyo. Esta formulación se realiza en el marco del Plan Estratégico Institucional vigente.</w:t>
      </w:r>
    </w:p>
    <w:p w:rsidR="00C041A7" w:rsidRPr="00C041A7" w:rsidRDefault="00C041A7" w:rsidP="00C041A7">
      <w:pPr>
        <w:ind w:left="1418" w:right="417" w:hanging="709"/>
        <w:jc w:val="both"/>
        <w:rPr>
          <w:rFonts w:ascii="Arial" w:hAnsi="Arial" w:cs="Arial"/>
          <w:i/>
          <w:sz w:val="22"/>
          <w:szCs w:val="22"/>
        </w:rPr>
      </w:pPr>
      <w:r w:rsidRPr="00C041A7">
        <w:rPr>
          <w:rFonts w:ascii="Arial" w:hAnsi="Arial" w:cs="Arial"/>
          <w:i/>
          <w:sz w:val="22"/>
          <w:szCs w:val="22"/>
        </w:rPr>
        <w:t>…</w:t>
      </w:r>
    </w:p>
    <w:p w:rsidR="00C041A7" w:rsidRPr="00C041A7" w:rsidRDefault="00C041A7" w:rsidP="00C041A7">
      <w:pPr>
        <w:ind w:left="1418" w:right="417" w:hanging="709"/>
        <w:jc w:val="both"/>
        <w:rPr>
          <w:rFonts w:ascii="Arial" w:hAnsi="Arial" w:cs="Arial"/>
          <w:sz w:val="20"/>
          <w:szCs w:val="20"/>
          <w:lang w:val="es-CR" w:eastAsia="es-CR"/>
        </w:rPr>
      </w:pPr>
    </w:p>
    <w:p w:rsidR="00C041A7" w:rsidRPr="00C041A7" w:rsidRDefault="00C041A7" w:rsidP="00C041A7">
      <w:pPr>
        <w:ind w:left="1418" w:right="417" w:hanging="709"/>
        <w:jc w:val="both"/>
        <w:rPr>
          <w:rFonts w:ascii="Arial" w:hAnsi="Arial" w:cs="Arial"/>
          <w:i/>
          <w:sz w:val="22"/>
          <w:szCs w:val="22"/>
        </w:rPr>
      </w:pPr>
      <w:r w:rsidRPr="00C041A7">
        <w:rPr>
          <w:rFonts w:ascii="Arial" w:hAnsi="Arial" w:cs="Arial"/>
          <w:i/>
          <w:sz w:val="22"/>
          <w:szCs w:val="22"/>
        </w:rPr>
        <w:t xml:space="preserve">3.10 </w:t>
      </w:r>
      <w:r w:rsidRPr="00C041A7">
        <w:rPr>
          <w:rFonts w:ascii="Arial" w:hAnsi="Arial" w:cs="Arial"/>
          <w:i/>
          <w:sz w:val="22"/>
          <w:szCs w:val="22"/>
        </w:rPr>
        <w:tab/>
        <w:t xml:space="preserve">El presupuesto deberá incorporar una previsión equivalente al 1 % de los recursos transferidos por el FEES, la misma cifra del FEES utilizada en la </w:t>
      </w:r>
      <w:r w:rsidRPr="00C041A7">
        <w:rPr>
          <w:rFonts w:ascii="Arial" w:hAnsi="Arial" w:cs="Arial"/>
          <w:i/>
          <w:sz w:val="22"/>
          <w:szCs w:val="22"/>
        </w:rPr>
        <w:lastRenderedPageBreak/>
        <w:t xml:space="preserve">relación Masa Salarial/FEES mencionada anteriormente, para financiar la automatización y mejora de procesos mediante la utilización de sistemas de información Estos recursos serán priorizados por el Comité Estratégico de Tecnologías de Información y Comunicación y administrados por el Departamento de Administración de Tecnologías de Información y se consideran un fondo restringido.” </w:t>
      </w:r>
    </w:p>
    <w:p w:rsidR="00C041A7" w:rsidRPr="00C041A7" w:rsidRDefault="00C041A7" w:rsidP="00C041A7">
      <w:pPr>
        <w:jc w:val="both"/>
        <w:rPr>
          <w:rFonts w:ascii="Arial" w:hAnsi="Arial" w:cs="Arial"/>
          <w:i/>
          <w:sz w:val="16"/>
          <w:szCs w:val="20"/>
          <w:lang w:val="es-CR"/>
        </w:rPr>
      </w:pPr>
    </w:p>
    <w:p w:rsidR="00C041A7" w:rsidRPr="00C041A7" w:rsidRDefault="00C041A7" w:rsidP="00C041A7">
      <w:pPr>
        <w:numPr>
          <w:ilvl w:val="0"/>
          <w:numId w:val="41"/>
        </w:numPr>
        <w:ind w:left="364"/>
        <w:contextualSpacing/>
        <w:jc w:val="both"/>
        <w:rPr>
          <w:rFonts w:ascii="Arial" w:hAnsi="Arial" w:cs="Arial"/>
        </w:rPr>
      </w:pPr>
      <w:r w:rsidRPr="00C041A7">
        <w:rPr>
          <w:rFonts w:ascii="Arial" w:hAnsi="Arial" w:cs="Arial"/>
        </w:rPr>
        <w:t>El Consejo Institucional en la Sesión Ordinaria No. 3065, Artículo 09, del 19 de abril de 2018 aprobó el Presupuesto Extraordinario 1-2018 y Vinculación con el Plan Anual Operativo 2018; en el cual se crea una nueva meta, según el siguiente detalle:</w:t>
      </w:r>
    </w:p>
    <w:p w:rsidR="00C041A7" w:rsidRPr="00C041A7" w:rsidRDefault="00C041A7" w:rsidP="00C041A7">
      <w:pPr>
        <w:jc w:val="both"/>
        <w:rPr>
          <w:rFonts w:ascii="Arial" w:hAnsi="Arial" w:cs="Arial"/>
          <w:i/>
          <w:sz w:val="16"/>
          <w:szCs w:val="20"/>
          <w:lang w:val="es-CR"/>
        </w:rPr>
      </w:pPr>
    </w:p>
    <w:tbl>
      <w:tblPr>
        <w:tblW w:w="88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1701"/>
        <w:gridCol w:w="1134"/>
        <w:gridCol w:w="1626"/>
        <w:gridCol w:w="1701"/>
        <w:gridCol w:w="1134"/>
      </w:tblGrid>
      <w:tr w:rsidR="00C041A7" w:rsidRPr="00C041A7" w:rsidTr="00291012">
        <w:trPr>
          <w:trHeight w:val="396"/>
          <w:tblHeader/>
        </w:trPr>
        <w:tc>
          <w:tcPr>
            <w:tcW w:w="1559" w:type="dxa"/>
            <w:shd w:val="clear" w:color="auto" w:fill="BFBFBF"/>
            <w:vAlign w:val="center"/>
            <w:hideMark/>
          </w:tcPr>
          <w:p w:rsidR="00C041A7" w:rsidRPr="00C041A7" w:rsidRDefault="00C041A7" w:rsidP="00C041A7">
            <w:pPr>
              <w:jc w:val="center"/>
              <w:rPr>
                <w:rFonts w:ascii="Arial" w:hAnsi="Arial" w:cs="Arial"/>
                <w:b/>
                <w:bCs/>
                <w:i/>
                <w:color w:val="000000"/>
                <w:sz w:val="16"/>
                <w:szCs w:val="16"/>
                <w:lang w:val="es-CR" w:eastAsia="es-CR"/>
              </w:rPr>
            </w:pPr>
            <w:r w:rsidRPr="00C041A7">
              <w:rPr>
                <w:rFonts w:ascii="Arial" w:hAnsi="Arial" w:cs="Arial"/>
                <w:b/>
                <w:bCs/>
                <w:i/>
                <w:color w:val="000000"/>
                <w:sz w:val="16"/>
                <w:szCs w:val="16"/>
                <w:lang w:val="es-CR"/>
              </w:rPr>
              <w:t>PROGRAMA</w:t>
            </w:r>
          </w:p>
        </w:tc>
        <w:tc>
          <w:tcPr>
            <w:tcW w:w="1701" w:type="dxa"/>
            <w:shd w:val="clear" w:color="auto" w:fill="BFBFBF"/>
            <w:vAlign w:val="center"/>
            <w:hideMark/>
          </w:tcPr>
          <w:p w:rsidR="00C041A7" w:rsidRPr="00C041A7" w:rsidRDefault="00C041A7" w:rsidP="00C041A7">
            <w:pPr>
              <w:jc w:val="center"/>
              <w:rPr>
                <w:rFonts w:ascii="Arial" w:hAnsi="Arial" w:cs="Arial"/>
                <w:b/>
                <w:bCs/>
                <w:i/>
                <w:color w:val="000000"/>
                <w:sz w:val="16"/>
                <w:szCs w:val="16"/>
                <w:lang w:val="es-CR"/>
              </w:rPr>
            </w:pPr>
            <w:r w:rsidRPr="00C041A7">
              <w:rPr>
                <w:rFonts w:ascii="Arial" w:hAnsi="Arial" w:cs="Arial"/>
                <w:b/>
                <w:bCs/>
                <w:i/>
                <w:color w:val="000000"/>
                <w:sz w:val="16"/>
                <w:szCs w:val="16"/>
                <w:lang w:val="es-CR"/>
              </w:rPr>
              <w:t>METAS </w:t>
            </w:r>
          </w:p>
        </w:tc>
        <w:tc>
          <w:tcPr>
            <w:tcW w:w="1134" w:type="dxa"/>
            <w:shd w:val="clear" w:color="auto" w:fill="BFBFBF"/>
            <w:vAlign w:val="center"/>
            <w:hideMark/>
          </w:tcPr>
          <w:p w:rsidR="00C041A7" w:rsidRPr="00C041A7" w:rsidRDefault="00C041A7" w:rsidP="00C041A7">
            <w:pPr>
              <w:jc w:val="center"/>
              <w:rPr>
                <w:rFonts w:ascii="Arial" w:hAnsi="Arial" w:cs="Arial"/>
                <w:b/>
                <w:bCs/>
                <w:i/>
                <w:color w:val="000000"/>
                <w:sz w:val="16"/>
                <w:szCs w:val="16"/>
                <w:lang w:val="es-CR"/>
              </w:rPr>
            </w:pPr>
            <w:r w:rsidRPr="00C041A7">
              <w:rPr>
                <w:rFonts w:ascii="Arial" w:hAnsi="Arial" w:cs="Arial"/>
                <w:b/>
                <w:bCs/>
                <w:i/>
                <w:color w:val="000000"/>
                <w:sz w:val="16"/>
                <w:szCs w:val="16"/>
                <w:lang w:val="es-CR"/>
              </w:rPr>
              <w:t>TIPO DE META</w:t>
            </w:r>
          </w:p>
        </w:tc>
        <w:tc>
          <w:tcPr>
            <w:tcW w:w="1626" w:type="dxa"/>
            <w:shd w:val="clear" w:color="auto" w:fill="BFBFBF"/>
            <w:vAlign w:val="center"/>
            <w:hideMark/>
          </w:tcPr>
          <w:p w:rsidR="00C041A7" w:rsidRPr="00C041A7" w:rsidRDefault="00C041A7" w:rsidP="00C041A7">
            <w:pPr>
              <w:jc w:val="center"/>
              <w:rPr>
                <w:rFonts w:ascii="Arial" w:hAnsi="Arial" w:cs="Arial"/>
                <w:b/>
                <w:bCs/>
                <w:i/>
                <w:color w:val="000000"/>
                <w:sz w:val="16"/>
                <w:szCs w:val="16"/>
                <w:lang w:val="es-CR"/>
              </w:rPr>
            </w:pPr>
            <w:r w:rsidRPr="00C041A7">
              <w:rPr>
                <w:rFonts w:ascii="Arial" w:hAnsi="Arial" w:cs="Arial"/>
                <w:b/>
                <w:bCs/>
                <w:i/>
                <w:color w:val="000000"/>
                <w:sz w:val="16"/>
                <w:szCs w:val="16"/>
                <w:lang w:val="es-CR"/>
              </w:rPr>
              <w:t>INDICADORES</w:t>
            </w:r>
          </w:p>
        </w:tc>
        <w:tc>
          <w:tcPr>
            <w:tcW w:w="1701" w:type="dxa"/>
            <w:shd w:val="clear" w:color="auto" w:fill="BFBFBF"/>
            <w:vAlign w:val="center"/>
            <w:hideMark/>
          </w:tcPr>
          <w:p w:rsidR="00C041A7" w:rsidRPr="00C041A7" w:rsidRDefault="00C041A7" w:rsidP="00C041A7">
            <w:pPr>
              <w:jc w:val="center"/>
              <w:rPr>
                <w:rFonts w:ascii="Arial" w:hAnsi="Arial" w:cs="Arial"/>
                <w:b/>
                <w:bCs/>
                <w:i/>
                <w:color w:val="000000"/>
                <w:sz w:val="16"/>
                <w:szCs w:val="16"/>
                <w:lang w:val="es-CR"/>
              </w:rPr>
            </w:pPr>
            <w:r w:rsidRPr="00C041A7">
              <w:rPr>
                <w:rFonts w:ascii="Arial" w:hAnsi="Arial" w:cs="Arial"/>
                <w:b/>
                <w:bCs/>
                <w:i/>
                <w:color w:val="000000"/>
                <w:sz w:val="16"/>
                <w:szCs w:val="16"/>
                <w:lang w:val="es-CR"/>
              </w:rPr>
              <w:t>RESPONSABLES</w:t>
            </w:r>
          </w:p>
        </w:tc>
        <w:tc>
          <w:tcPr>
            <w:tcW w:w="1134" w:type="dxa"/>
            <w:shd w:val="clear" w:color="auto" w:fill="BFBFBF"/>
            <w:vAlign w:val="center"/>
            <w:hideMark/>
          </w:tcPr>
          <w:p w:rsidR="00C041A7" w:rsidRPr="00C041A7" w:rsidRDefault="00C041A7" w:rsidP="00C041A7">
            <w:pPr>
              <w:jc w:val="center"/>
              <w:rPr>
                <w:rFonts w:ascii="Arial" w:hAnsi="Arial" w:cs="Arial"/>
                <w:b/>
                <w:bCs/>
                <w:i/>
                <w:color w:val="000000"/>
                <w:sz w:val="16"/>
                <w:szCs w:val="16"/>
                <w:lang w:val="es-CR"/>
              </w:rPr>
            </w:pPr>
            <w:r w:rsidRPr="00C041A7">
              <w:rPr>
                <w:rFonts w:ascii="Arial" w:hAnsi="Arial" w:cs="Arial"/>
                <w:b/>
                <w:bCs/>
                <w:i/>
                <w:color w:val="000000"/>
                <w:sz w:val="16"/>
                <w:szCs w:val="16"/>
                <w:lang w:val="es-CR"/>
              </w:rPr>
              <w:t>POLÍTICAS INST. </w:t>
            </w:r>
          </w:p>
        </w:tc>
      </w:tr>
      <w:tr w:rsidR="00C041A7" w:rsidRPr="00C041A7" w:rsidTr="00291012">
        <w:trPr>
          <w:trHeight w:val="396"/>
          <w:tblHeader/>
        </w:trPr>
        <w:tc>
          <w:tcPr>
            <w:tcW w:w="1559" w:type="dxa"/>
            <w:shd w:val="clear" w:color="auto" w:fill="auto"/>
            <w:vAlign w:val="center"/>
          </w:tcPr>
          <w:p w:rsidR="00C041A7" w:rsidRPr="00C041A7" w:rsidRDefault="00C041A7" w:rsidP="00C041A7">
            <w:pPr>
              <w:jc w:val="center"/>
              <w:rPr>
                <w:rFonts w:ascii="Arial" w:hAnsi="Arial" w:cs="Arial"/>
                <w:b/>
                <w:bCs/>
                <w:i/>
                <w:color w:val="000000"/>
                <w:sz w:val="16"/>
                <w:szCs w:val="16"/>
                <w:lang w:val="es-CR"/>
              </w:rPr>
            </w:pPr>
            <w:r w:rsidRPr="00C041A7">
              <w:rPr>
                <w:rFonts w:ascii="Arial" w:hAnsi="Arial" w:cs="Arial"/>
                <w:i/>
                <w:color w:val="000000"/>
                <w:sz w:val="16"/>
                <w:szCs w:val="16"/>
                <w:lang w:val="es-CR"/>
              </w:rPr>
              <w:t>PROGRAMA 1:  ADMINISTRACIÓN</w:t>
            </w:r>
            <w:r w:rsidRPr="00C041A7">
              <w:rPr>
                <w:rFonts w:ascii="Arial" w:hAnsi="Arial" w:cs="Arial"/>
                <w:i/>
                <w:color w:val="000000"/>
                <w:sz w:val="16"/>
                <w:szCs w:val="16"/>
                <w:lang w:val="es-CR"/>
              </w:rPr>
              <w:br/>
            </w:r>
            <w:r w:rsidRPr="00C041A7">
              <w:rPr>
                <w:rFonts w:ascii="Arial" w:hAnsi="Arial" w:cs="Arial"/>
                <w:i/>
                <w:color w:val="000000"/>
                <w:sz w:val="16"/>
                <w:szCs w:val="16"/>
                <w:lang w:val="es-CR"/>
              </w:rPr>
              <w:br/>
            </w:r>
            <w:proofErr w:type="spellStart"/>
            <w:r w:rsidRPr="00C041A7">
              <w:rPr>
                <w:rFonts w:ascii="Arial" w:hAnsi="Arial" w:cs="Arial"/>
                <w:i/>
                <w:color w:val="000000"/>
                <w:sz w:val="16"/>
                <w:szCs w:val="16"/>
                <w:lang w:val="es-CR"/>
              </w:rPr>
              <w:t>SubPrograma</w:t>
            </w:r>
            <w:proofErr w:type="spellEnd"/>
            <w:r w:rsidRPr="00C041A7">
              <w:rPr>
                <w:rFonts w:ascii="Arial" w:hAnsi="Arial" w:cs="Arial"/>
                <w:i/>
                <w:color w:val="000000"/>
                <w:sz w:val="16"/>
                <w:szCs w:val="16"/>
                <w:lang w:val="es-CR"/>
              </w:rPr>
              <w:t xml:space="preserve"> 1.1 Dirección Superior</w:t>
            </w:r>
          </w:p>
        </w:tc>
        <w:tc>
          <w:tcPr>
            <w:tcW w:w="1701" w:type="dxa"/>
            <w:shd w:val="clear" w:color="auto" w:fill="auto"/>
            <w:vAlign w:val="center"/>
          </w:tcPr>
          <w:p w:rsidR="00C041A7" w:rsidRPr="00C041A7" w:rsidRDefault="00C041A7" w:rsidP="00C041A7">
            <w:pPr>
              <w:rPr>
                <w:rFonts w:ascii="Arial" w:hAnsi="Arial" w:cs="Arial"/>
                <w:b/>
                <w:bCs/>
                <w:i/>
                <w:sz w:val="16"/>
                <w:szCs w:val="16"/>
                <w:lang w:val="es-CR"/>
              </w:rPr>
            </w:pPr>
            <w:r w:rsidRPr="00C041A7">
              <w:rPr>
                <w:rFonts w:ascii="Arial" w:hAnsi="Arial" w:cs="Arial"/>
                <w:i/>
                <w:sz w:val="16"/>
                <w:szCs w:val="16"/>
                <w:lang w:val="es-CR"/>
              </w:rPr>
              <w:t xml:space="preserve"> </w:t>
            </w:r>
            <w:r w:rsidRPr="00C041A7">
              <w:rPr>
                <w:rFonts w:ascii="Arial" w:hAnsi="Arial" w:cs="Arial"/>
                <w:i/>
                <w:iCs/>
                <w:sz w:val="16"/>
                <w:szCs w:val="16"/>
                <w:lang w:val="es-CR"/>
              </w:rPr>
              <w:t>5.1.1.4 Ejecutar el 100% de los recursos asignados para la automatización de sistemas.</w:t>
            </w:r>
          </w:p>
        </w:tc>
        <w:tc>
          <w:tcPr>
            <w:tcW w:w="1134" w:type="dxa"/>
            <w:shd w:val="clear" w:color="auto" w:fill="auto"/>
            <w:vAlign w:val="center"/>
          </w:tcPr>
          <w:p w:rsidR="00C041A7" w:rsidRPr="00C041A7" w:rsidRDefault="00C041A7" w:rsidP="00C041A7">
            <w:pPr>
              <w:jc w:val="center"/>
              <w:rPr>
                <w:rFonts w:ascii="Arial" w:hAnsi="Arial" w:cs="Arial"/>
                <w:b/>
                <w:bCs/>
                <w:i/>
                <w:color w:val="000000"/>
                <w:sz w:val="16"/>
                <w:szCs w:val="16"/>
                <w:lang w:val="es-CR"/>
              </w:rPr>
            </w:pPr>
            <w:r w:rsidRPr="00C041A7">
              <w:rPr>
                <w:rFonts w:ascii="Arial" w:hAnsi="Arial" w:cs="Arial"/>
                <w:b/>
                <w:bCs/>
                <w:i/>
                <w:color w:val="000000"/>
                <w:sz w:val="16"/>
                <w:szCs w:val="16"/>
                <w:lang w:val="es-CR"/>
              </w:rPr>
              <w:t>PETEC 17-21</w:t>
            </w:r>
          </w:p>
        </w:tc>
        <w:tc>
          <w:tcPr>
            <w:tcW w:w="1626" w:type="dxa"/>
            <w:shd w:val="clear" w:color="auto" w:fill="auto"/>
            <w:vAlign w:val="center"/>
          </w:tcPr>
          <w:p w:rsidR="00C041A7" w:rsidRPr="00C041A7" w:rsidRDefault="00C041A7" w:rsidP="00C041A7">
            <w:pPr>
              <w:jc w:val="center"/>
              <w:rPr>
                <w:rFonts w:ascii="Arial" w:hAnsi="Arial" w:cs="Arial"/>
                <w:b/>
                <w:bCs/>
                <w:i/>
                <w:color w:val="000000"/>
                <w:sz w:val="16"/>
                <w:szCs w:val="16"/>
                <w:lang w:val="es-CR"/>
              </w:rPr>
            </w:pPr>
            <w:r w:rsidRPr="00C041A7">
              <w:rPr>
                <w:rFonts w:ascii="Arial" w:hAnsi="Arial" w:cs="Arial"/>
                <w:b/>
                <w:bCs/>
                <w:i/>
                <w:color w:val="000000"/>
                <w:sz w:val="16"/>
                <w:szCs w:val="16"/>
                <w:lang w:val="es-CR"/>
              </w:rPr>
              <w:t>5.1.1.4.1: Porcentaje de recursos ejecutados</w:t>
            </w:r>
          </w:p>
        </w:tc>
        <w:tc>
          <w:tcPr>
            <w:tcW w:w="1701" w:type="dxa"/>
            <w:shd w:val="clear" w:color="auto" w:fill="auto"/>
            <w:vAlign w:val="center"/>
          </w:tcPr>
          <w:p w:rsidR="00C041A7" w:rsidRPr="00C041A7" w:rsidRDefault="00C041A7" w:rsidP="00C041A7">
            <w:pPr>
              <w:jc w:val="center"/>
              <w:rPr>
                <w:rFonts w:ascii="Arial" w:hAnsi="Arial" w:cs="Arial"/>
                <w:b/>
                <w:bCs/>
                <w:i/>
                <w:color w:val="000000"/>
                <w:sz w:val="16"/>
                <w:szCs w:val="16"/>
                <w:lang w:val="es-CR"/>
              </w:rPr>
            </w:pPr>
            <w:r w:rsidRPr="00C041A7">
              <w:rPr>
                <w:rFonts w:ascii="Arial" w:hAnsi="Arial" w:cs="Arial"/>
                <w:b/>
                <w:bCs/>
                <w:i/>
                <w:color w:val="000000"/>
                <w:sz w:val="16"/>
                <w:szCs w:val="16"/>
                <w:lang w:val="es-CR"/>
              </w:rPr>
              <w:t xml:space="preserve">Comité Estratégico de </w:t>
            </w:r>
            <w:proofErr w:type="spellStart"/>
            <w:r w:rsidRPr="00C041A7">
              <w:rPr>
                <w:rFonts w:ascii="Arial" w:hAnsi="Arial" w:cs="Arial"/>
                <w:b/>
                <w:bCs/>
                <w:i/>
                <w:color w:val="000000"/>
                <w:sz w:val="16"/>
                <w:szCs w:val="16"/>
                <w:lang w:val="es-CR"/>
              </w:rPr>
              <w:t>TICs</w:t>
            </w:r>
            <w:proofErr w:type="spellEnd"/>
          </w:p>
        </w:tc>
        <w:tc>
          <w:tcPr>
            <w:tcW w:w="1134" w:type="dxa"/>
            <w:shd w:val="clear" w:color="auto" w:fill="auto"/>
            <w:vAlign w:val="center"/>
          </w:tcPr>
          <w:p w:rsidR="00C041A7" w:rsidRPr="00C041A7" w:rsidRDefault="00C041A7" w:rsidP="00C041A7">
            <w:pPr>
              <w:jc w:val="center"/>
              <w:rPr>
                <w:rFonts w:ascii="Arial" w:hAnsi="Arial" w:cs="Arial"/>
                <w:b/>
                <w:bCs/>
                <w:i/>
                <w:color w:val="000000"/>
                <w:sz w:val="16"/>
                <w:szCs w:val="16"/>
                <w:lang w:val="es-CR"/>
              </w:rPr>
            </w:pPr>
            <w:r w:rsidRPr="00C041A7">
              <w:rPr>
                <w:rFonts w:ascii="Arial" w:hAnsi="Arial" w:cs="Arial"/>
                <w:b/>
                <w:bCs/>
                <w:i/>
                <w:color w:val="000000"/>
                <w:sz w:val="16"/>
                <w:szCs w:val="16"/>
                <w:lang w:val="es-CR"/>
              </w:rPr>
              <w:t>G: 15</w:t>
            </w:r>
          </w:p>
          <w:p w:rsidR="00C041A7" w:rsidRPr="00C041A7" w:rsidRDefault="00C041A7" w:rsidP="00C041A7">
            <w:pPr>
              <w:jc w:val="center"/>
              <w:rPr>
                <w:rFonts w:ascii="Arial" w:hAnsi="Arial" w:cs="Arial"/>
                <w:b/>
                <w:bCs/>
                <w:i/>
                <w:color w:val="000000"/>
                <w:sz w:val="16"/>
                <w:szCs w:val="16"/>
                <w:lang w:val="es-CR"/>
              </w:rPr>
            </w:pPr>
            <w:r w:rsidRPr="00C041A7">
              <w:rPr>
                <w:rFonts w:ascii="Arial" w:hAnsi="Arial" w:cs="Arial"/>
                <w:b/>
                <w:bCs/>
                <w:i/>
                <w:color w:val="000000"/>
                <w:sz w:val="16"/>
                <w:szCs w:val="16"/>
                <w:lang w:val="es-CR"/>
              </w:rPr>
              <w:t xml:space="preserve"> </w:t>
            </w:r>
          </w:p>
          <w:p w:rsidR="00C041A7" w:rsidRPr="00C041A7" w:rsidRDefault="00C041A7" w:rsidP="00C041A7">
            <w:pPr>
              <w:jc w:val="center"/>
              <w:rPr>
                <w:rFonts w:ascii="Arial" w:hAnsi="Arial" w:cs="Arial"/>
                <w:b/>
                <w:bCs/>
                <w:i/>
                <w:color w:val="000000"/>
                <w:sz w:val="16"/>
                <w:szCs w:val="16"/>
                <w:lang w:val="es-CR"/>
              </w:rPr>
            </w:pPr>
            <w:r w:rsidRPr="00C041A7">
              <w:rPr>
                <w:rFonts w:ascii="Arial" w:hAnsi="Arial" w:cs="Arial"/>
                <w:b/>
                <w:bCs/>
                <w:i/>
                <w:color w:val="000000"/>
                <w:sz w:val="16"/>
                <w:szCs w:val="16"/>
                <w:lang w:val="es-CR"/>
              </w:rPr>
              <w:t>E: 15.2</w:t>
            </w:r>
          </w:p>
        </w:tc>
      </w:tr>
    </w:tbl>
    <w:p w:rsidR="00C041A7" w:rsidRPr="00C041A7" w:rsidRDefault="00C041A7" w:rsidP="00C041A7">
      <w:pPr>
        <w:jc w:val="both"/>
        <w:rPr>
          <w:rFonts w:ascii="Arial" w:hAnsi="Arial" w:cs="Arial"/>
          <w:i/>
          <w:sz w:val="16"/>
          <w:szCs w:val="20"/>
          <w:lang w:val="es-CR"/>
        </w:rPr>
      </w:pPr>
    </w:p>
    <w:p w:rsidR="00C041A7" w:rsidRPr="00C041A7" w:rsidRDefault="00C041A7" w:rsidP="00C041A7">
      <w:pPr>
        <w:spacing w:before="120"/>
        <w:jc w:val="both"/>
        <w:rPr>
          <w:rFonts w:ascii="Arial" w:hAnsi="Arial" w:cs="Arial"/>
          <w:b/>
        </w:rPr>
      </w:pPr>
      <w:r w:rsidRPr="00C041A7">
        <w:rPr>
          <w:rFonts w:ascii="Arial" w:hAnsi="Arial" w:cs="Arial"/>
          <w:b/>
        </w:rPr>
        <w:t>CONSIDERANDO QUE:</w:t>
      </w:r>
    </w:p>
    <w:p w:rsidR="00C041A7" w:rsidRPr="00C041A7" w:rsidRDefault="00C041A7" w:rsidP="00C041A7">
      <w:pPr>
        <w:rPr>
          <w:rFonts w:ascii="Arial" w:hAnsi="Arial" w:cs="Arial"/>
          <w:i/>
          <w:sz w:val="20"/>
          <w:szCs w:val="20"/>
          <w:lang w:val="es-CR"/>
        </w:rPr>
      </w:pPr>
    </w:p>
    <w:p w:rsidR="00C041A7" w:rsidRPr="00C041A7" w:rsidRDefault="00C041A7" w:rsidP="00C041A7">
      <w:pPr>
        <w:numPr>
          <w:ilvl w:val="0"/>
          <w:numId w:val="40"/>
        </w:numPr>
        <w:ind w:left="426" w:hanging="426"/>
        <w:contextualSpacing/>
        <w:jc w:val="both"/>
        <w:rPr>
          <w:rFonts w:ascii="Arial" w:hAnsi="Arial" w:cs="Arial"/>
        </w:rPr>
      </w:pPr>
      <w:r w:rsidRPr="00C041A7">
        <w:rPr>
          <w:rFonts w:ascii="Arial" w:hAnsi="Arial" w:cs="Arial"/>
        </w:rPr>
        <w:t xml:space="preserve">La Secretaría del Consejo Institucional recibe oficio R-623-2018, con fecha de recibido 29 de mayo de 2018, suscrito por el Dr. Julio Calvo Alvarado, Rector, dirigido a la </w:t>
      </w:r>
      <w:proofErr w:type="spellStart"/>
      <w:r w:rsidRPr="00C041A7">
        <w:rPr>
          <w:rFonts w:ascii="Arial" w:hAnsi="Arial" w:cs="Arial"/>
        </w:rPr>
        <w:t>MSc</w:t>
      </w:r>
      <w:proofErr w:type="spellEnd"/>
      <w:r w:rsidRPr="00C041A7">
        <w:rPr>
          <w:rFonts w:ascii="Arial" w:hAnsi="Arial" w:cs="Arial"/>
        </w:rPr>
        <w:t>. Ana Rosa Ruiz, Coordinadora de la Comisión de Planificación y Administración, en el cual presenta propuesta para la aprobación por parte del Consejo Institucional de la meta 5.1.1.4: “Asignar el 50% de los recursos presupuestados para la automatización de sistemas”, según se detalla a continuación:</w:t>
      </w:r>
    </w:p>
    <w:p w:rsidR="00C041A7" w:rsidRPr="00C041A7" w:rsidRDefault="00C041A7" w:rsidP="00C041A7">
      <w:pPr>
        <w:jc w:val="both"/>
        <w:rPr>
          <w:rFonts w:ascii="Arial" w:eastAsia="Arial Unicode MS" w:hAnsi="Arial" w:cs="Arial"/>
          <w:i/>
        </w:rPr>
      </w:pP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2"/>
        <w:gridCol w:w="2059"/>
        <w:gridCol w:w="1059"/>
        <w:gridCol w:w="1843"/>
        <w:gridCol w:w="2060"/>
        <w:gridCol w:w="1417"/>
      </w:tblGrid>
      <w:tr w:rsidR="00C041A7" w:rsidRPr="00C041A7" w:rsidTr="00291012">
        <w:trPr>
          <w:trHeight w:val="396"/>
          <w:tblHeader/>
        </w:trPr>
        <w:tc>
          <w:tcPr>
            <w:tcW w:w="2052" w:type="dxa"/>
            <w:shd w:val="clear" w:color="auto" w:fill="BFBFBF"/>
            <w:vAlign w:val="center"/>
            <w:hideMark/>
          </w:tcPr>
          <w:p w:rsidR="00C041A7" w:rsidRPr="00C041A7" w:rsidRDefault="00C041A7" w:rsidP="00C041A7">
            <w:pPr>
              <w:jc w:val="center"/>
              <w:rPr>
                <w:rFonts w:ascii="Arial" w:hAnsi="Arial" w:cs="Arial"/>
                <w:b/>
                <w:bCs/>
                <w:i/>
                <w:color w:val="000000"/>
                <w:sz w:val="22"/>
                <w:szCs w:val="22"/>
                <w:lang w:val="es-CR" w:eastAsia="es-CR"/>
              </w:rPr>
            </w:pPr>
            <w:r w:rsidRPr="00C041A7">
              <w:rPr>
                <w:rFonts w:ascii="Arial" w:hAnsi="Arial" w:cs="Arial"/>
                <w:b/>
                <w:bCs/>
                <w:i/>
                <w:color w:val="000000"/>
                <w:sz w:val="22"/>
                <w:szCs w:val="22"/>
                <w:lang w:val="es-CR"/>
              </w:rPr>
              <w:t>PROGRAMA</w:t>
            </w:r>
          </w:p>
        </w:tc>
        <w:tc>
          <w:tcPr>
            <w:tcW w:w="2059" w:type="dxa"/>
            <w:shd w:val="clear" w:color="auto" w:fill="BFBFBF"/>
            <w:vAlign w:val="center"/>
            <w:hideMark/>
          </w:tcPr>
          <w:p w:rsidR="00C041A7" w:rsidRPr="00C041A7" w:rsidRDefault="00C041A7" w:rsidP="00C041A7">
            <w:pPr>
              <w:jc w:val="center"/>
              <w:rPr>
                <w:rFonts w:ascii="Arial" w:hAnsi="Arial" w:cs="Arial"/>
                <w:b/>
                <w:bCs/>
                <w:i/>
                <w:color w:val="000000"/>
                <w:sz w:val="22"/>
                <w:szCs w:val="22"/>
                <w:lang w:val="es-CR"/>
              </w:rPr>
            </w:pPr>
            <w:r w:rsidRPr="00C041A7">
              <w:rPr>
                <w:rFonts w:ascii="Arial" w:hAnsi="Arial" w:cs="Arial"/>
                <w:b/>
                <w:bCs/>
                <w:i/>
                <w:color w:val="000000"/>
                <w:sz w:val="22"/>
                <w:szCs w:val="22"/>
                <w:lang w:val="es-CR"/>
              </w:rPr>
              <w:t>METAS </w:t>
            </w:r>
          </w:p>
        </w:tc>
        <w:tc>
          <w:tcPr>
            <w:tcW w:w="1059" w:type="dxa"/>
            <w:shd w:val="clear" w:color="auto" w:fill="BFBFBF"/>
            <w:vAlign w:val="center"/>
            <w:hideMark/>
          </w:tcPr>
          <w:p w:rsidR="00C041A7" w:rsidRPr="00C041A7" w:rsidRDefault="00C041A7" w:rsidP="00C041A7">
            <w:pPr>
              <w:jc w:val="center"/>
              <w:rPr>
                <w:rFonts w:ascii="Arial" w:hAnsi="Arial" w:cs="Arial"/>
                <w:b/>
                <w:bCs/>
                <w:i/>
                <w:color w:val="000000"/>
                <w:sz w:val="22"/>
                <w:szCs w:val="22"/>
                <w:lang w:val="es-CR"/>
              </w:rPr>
            </w:pPr>
            <w:r w:rsidRPr="00C041A7">
              <w:rPr>
                <w:rFonts w:ascii="Arial" w:hAnsi="Arial" w:cs="Arial"/>
                <w:b/>
                <w:bCs/>
                <w:i/>
                <w:color w:val="000000"/>
                <w:sz w:val="22"/>
                <w:szCs w:val="22"/>
                <w:lang w:val="es-CR"/>
              </w:rPr>
              <w:t>TIPO DE META</w:t>
            </w:r>
          </w:p>
        </w:tc>
        <w:tc>
          <w:tcPr>
            <w:tcW w:w="1843" w:type="dxa"/>
            <w:shd w:val="clear" w:color="auto" w:fill="BFBFBF"/>
            <w:vAlign w:val="center"/>
            <w:hideMark/>
          </w:tcPr>
          <w:p w:rsidR="00C041A7" w:rsidRPr="00C041A7" w:rsidRDefault="00C041A7" w:rsidP="00C041A7">
            <w:pPr>
              <w:jc w:val="center"/>
              <w:rPr>
                <w:rFonts w:ascii="Arial" w:hAnsi="Arial" w:cs="Arial"/>
                <w:b/>
                <w:bCs/>
                <w:i/>
                <w:color w:val="000000"/>
                <w:sz w:val="22"/>
                <w:szCs w:val="22"/>
                <w:lang w:val="es-CR"/>
              </w:rPr>
            </w:pPr>
            <w:r w:rsidRPr="00C041A7">
              <w:rPr>
                <w:rFonts w:ascii="Arial" w:hAnsi="Arial" w:cs="Arial"/>
                <w:b/>
                <w:bCs/>
                <w:i/>
                <w:color w:val="000000"/>
                <w:sz w:val="22"/>
                <w:szCs w:val="22"/>
                <w:lang w:val="es-CR"/>
              </w:rPr>
              <w:t>INDICADORES</w:t>
            </w:r>
          </w:p>
        </w:tc>
        <w:tc>
          <w:tcPr>
            <w:tcW w:w="2060" w:type="dxa"/>
            <w:shd w:val="clear" w:color="auto" w:fill="BFBFBF"/>
            <w:vAlign w:val="center"/>
            <w:hideMark/>
          </w:tcPr>
          <w:p w:rsidR="00C041A7" w:rsidRPr="00C041A7" w:rsidRDefault="00C041A7" w:rsidP="00C041A7">
            <w:pPr>
              <w:jc w:val="center"/>
              <w:rPr>
                <w:rFonts w:ascii="Arial" w:hAnsi="Arial" w:cs="Arial"/>
                <w:b/>
                <w:bCs/>
                <w:i/>
                <w:color w:val="000000"/>
                <w:sz w:val="22"/>
                <w:szCs w:val="22"/>
                <w:lang w:val="es-CR"/>
              </w:rPr>
            </w:pPr>
            <w:r w:rsidRPr="00C041A7">
              <w:rPr>
                <w:rFonts w:ascii="Arial" w:hAnsi="Arial" w:cs="Arial"/>
                <w:b/>
                <w:bCs/>
                <w:i/>
                <w:color w:val="000000"/>
                <w:sz w:val="22"/>
                <w:szCs w:val="22"/>
                <w:lang w:val="es-CR"/>
              </w:rPr>
              <w:t>RESPONSABLES</w:t>
            </w:r>
          </w:p>
        </w:tc>
        <w:tc>
          <w:tcPr>
            <w:tcW w:w="1417" w:type="dxa"/>
            <w:shd w:val="clear" w:color="auto" w:fill="BFBFBF"/>
            <w:vAlign w:val="center"/>
            <w:hideMark/>
          </w:tcPr>
          <w:p w:rsidR="00C041A7" w:rsidRPr="00C041A7" w:rsidRDefault="00C041A7" w:rsidP="00C041A7">
            <w:pPr>
              <w:jc w:val="center"/>
              <w:rPr>
                <w:rFonts w:ascii="Arial" w:hAnsi="Arial" w:cs="Arial"/>
                <w:b/>
                <w:bCs/>
                <w:i/>
                <w:color w:val="000000"/>
                <w:sz w:val="22"/>
                <w:szCs w:val="22"/>
                <w:lang w:val="es-CR"/>
              </w:rPr>
            </w:pPr>
            <w:r w:rsidRPr="00C041A7">
              <w:rPr>
                <w:rFonts w:ascii="Arial" w:hAnsi="Arial" w:cs="Arial"/>
                <w:b/>
                <w:bCs/>
                <w:i/>
                <w:color w:val="000000"/>
                <w:sz w:val="22"/>
                <w:szCs w:val="22"/>
                <w:lang w:val="es-CR"/>
              </w:rPr>
              <w:t>POLÍTICAS INST. </w:t>
            </w:r>
          </w:p>
        </w:tc>
      </w:tr>
      <w:tr w:rsidR="00C041A7" w:rsidRPr="00C041A7" w:rsidTr="00291012">
        <w:trPr>
          <w:trHeight w:val="396"/>
          <w:tblHeader/>
        </w:trPr>
        <w:tc>
          <w:tcPr>
            <w:tcW w:w="2052" w:type="dxa"/>
            <w:shd w:val="clear" w:color="auto" w:fill="auto"/>
            <w:vAlign w:val="center"/>
          </w:tcPr>
          <w:p w:rsidR="00C041A7" w:rsidRPr="00C041A7" w:rsidRDefault="00C041A7" w:rsidP="00C041A7">
            <w:pPr>
              <w:jc w:val="center"/>
              <w:rPr>
                <w:rFonts w:ascii="Arial" w:hAnsi="Arial" w:cs="Arial"/>
                <w:b/>
                <w:bCs/>
                <w:i/>
                <w:color w:val="000000"/>
                <w:sz w:val="22"/>
                <w:szCs w:val="22"/>
                <w:lang w:val="es-CR"/>
              </w:rPr>
            </w:pPr>
            <w:r w:rsidRPr="00C041A7">
              <w:rPr>
                <w:rFonts w:ascii="Arial" w:hAnsi="Arial" w:cs="Arial"/>
                <w:i/>
                <w:color w:val="000000"/>
                <w:sz w:val="22"/>
                <w:szCs w:val="22"/>
                <w:lang w:val="es-CR"/>
              </w:rPr>
              <w:t>PROGRAMA 1:  ADMINISTRACIÓN</w:t>
            </w:r>
            <w:r w:rsidRPr="00C041A7">
              <w:rPr>
                <w:rFonts w:ascii="Arial" w:hAnsi="Arial" w:cs="Arial"/>
                <w:i/>
                <w:color w:val="000000"/>
                <w:sz w:val="22"/>
                <w:szCs w:val="22"/>
                <w:lang w:val="es-CR"/>
              </w:rPr>
              <w:br/>
            </w:r>
            <w:r w:rsidRPr="00C041A7">
              <w:rPr>
                <w:rFonts w:ascii="Arial" w:hAnsi="Arial" w:cs="Arial"/>
                <w:i/>
                <w:color w:val="000000"/>
                <w:sz w:val="22"/>
                <w:szCs w:val="22"/>
                <w:lang w:val="es-CR"/>
              </w:rPr>
              <w:br/>
              <w:t>Sub-Programa 1.1 Dirección Superior</w:t>
            </w:r>
          </w:p>
        </w:tc>
        <w:tc>
          <w:tcPr>
            <w:tcW w:w="2059" w:type="dxa"/>
            <w:shd w:val="clear" w:color="auto" w:fill="auto"/>
            <w:vAlign w:val="center"/>
          </w:tcPr>
          <w:p w:rsidR="00C041A7" w:rsidRPr="00C041A7" w:rsidRDefault="00C041A7" w:rsidP="00C041A7">
            <w:pPr>
              <w:rPr>
                <w:rFonts w:ascii="Arial" w:hAnsi="Arial" w:cs="Arial"/>
                <w:b/>
                <w:bCs/>
                <w:i/>
                <w:sz w:val="22"/>
                <w:szCs w:val="22"/>
                <w:lang w:val="es-CR"/>
              </w:rPr>
            </w:pPr>
            <w:r w:rsidRPr="00C041A7">
              <w:rPr>
                <w:rFonts w:ascii="Arial" w:hAnsi="Arial" w:cs="Arial"/>
                <w:i/>
                <w:sz w:val="22"/>
                <w:szCs w:val="22"/>
                <w:lang w:val="es-CR"/>
              </w:rPr>
              <w:t xml:space="preserve"> </w:t>
            </w:r>
            <w:r w:rsidRPr="00C041A7">
              <w:rPr>
                <w:rFonts w:ascii="Arial" w:hAnsi="Arial" w:cs="Arial"/>
                <w:i/>
                <w:iCs/>
                <w:sz w:val="22"/>
                <w:szCs w:val="22"/>
                <w:lang w:val="es-CR"/>
              </w:rPr>
              <w:t>5.1.1.4 Asignar el 50% de los recursos presupuestados para la automatización de sistemas”.</w:t>
            </w:r>
          </w:p>
        </w:tc>
        <w:tc>
          <w:tcPr>
            <w:tcW w:w="1059" w:type="dxa"/>
            <w:shd w:val="clear" w:color="auto" w:fill="auto"/>
            <w:vAlign w:val="center"/>
          </w:tcPr>
          <w:p w:rsidR="00C041A7" w:rsidRPr="00C041A7" w:rsidRDefault="00C041A7" w:rsidP="00C041A7">
            <w:pPr>
              <w:jc w:val="center"/>
              <w:rPr>
                <w:rFonts w:ascii="Arial" w:hAnsi="Arial" w:cs="Arial"/>
                <w:b/>
                <w:bCs/>
                <w:i/>
                <w:color w:val="000000"/>
                <w:sz w:val="22"/>
                <w:szCs w:val="22"/>
                <w:lang w:val="es-CR"/>
              </w:rPr>
            </w:pPr>
            <w:r w:rsidRPr="00C041A7">
              <w:rPr>
                <w:rFonts w:ascii="Arial" w:hAnsi="Arial" w:cs="Arial"/>
                <w:b/>
                <w:bCs/>
                <w:i/>
                <w:color w:val="000000"/>
                <w:sz w:val="22"/>
                <w:szCs w:val="22"/>
                <w:lang w:val="es-CR"/>
              </w:rPr>
              <w:t>PETEC 17-21</w:t>
            </w:r>
          </w:p>
        </w:tc>
        <w:tc>
          <w:tcPr>
            <w:tcW w:w="1843" w:type="dxa"/>
            <w:shd w:val="clear" w:color="auto" w:fill="auto"/>
            <w:vAlign w:val="center"/>
          </w:tcPr>
          <w:p w:rsidR="00C041A7" w:rsidRPr="00C041A7" w:rsidRDefault="00C041A7" w:rsidP="00C041A7">
            <w:pPr>
              <w:jc w:val="center"/>
              <w:rPr>
                <w:rFonts w:ascii="Arial" w:hAnsi="Arial" w:cs="Arial"/>
                <w:b/>
                <w:bCs/>
                <w:i/>
                <w:color w:val="000000"/>
                <w:sz w:val="22"/>
                <w:szCs w:val="22"/>
                <w:lang w:val="es-CR"/>
              </w:rPr>
            </w:pPr>
            <w:r w:rsidRPr="00C041A7">
              <w:rPr>
                <w:rFonts w:ascii="Arial" w:hAnsi="Arial" w:cs="Arial"/>
                <w:b/>
                <w:bCs/>
                <w:i/>
                <w:color w:val="000000"/>
                <w:sz w:val="22"/>
                <w:szCs w:val="22"/>
                <w:lang w:val="es-CR"/>
              </w:rPr>
              <w:t>5.1.1.4.1: Porcentaje de recursos ejecutados</w:t>
            </w:r>
          </w:p>
        </w:tc>
        <w:tc>
          <w:tcPr>
            <w:tcW w:w="2060" w:type="dxa"/>
            <w:shd w:val="clear" w:color="auto" w:fill="auto"/>
            <w:vAlign w:val="center"/>
          </w:tcPr>
          <w:p w:rsidR="00C041A7" w:rsidRPr="00C041A7" w:rsidRDefault="00C041A7" w:rsidP="00C041A7">
            <w:pPr>
              <w:jc w:val="center"/>
              <w:rPr>
                <w:rFonts w:ascii="Arial" w:hAnsi="Arial" w:cs="Arial"/>
                <w:b/>
                <w:bCs/>
                <w:i/>
                <w:color w:val="000000"/>
                <w:sz w:val="22"/>
                <w:szCs w:val="22"/>
                <w:lang w:val="es-CR"/>
              </w:rPr>
            </w:pPr>
            <w:r w:rsidRPr="00C041A7">
              <w:rPr>
                <w:rFonts w:ascii="Arial" w:hAnsi="Arial" w:cs="Arial"/>
                <w:b/>
                <w:bCs/>
                <w:i/>
                <w:color w:val="000000"/>
                <w:sz w:val="22"/>
                <w:szCs w:val="22"/>
                <w:lang w:val="es-CR"/>
              </w:rPr>
              <w:t>Dirección de Rectoría</w:t>
            </w:r>
          </w:p>
          <w:p w:rsidR="00C041A7" w:rsidRPr="00C041A7" w:rsidRDefault="00C041A7" w:rsidP="00C041A7">
            <w:pPr>
              <w:jc w:val="center"/>
              <w:rPr>
                <w:rFonts w:ascii="Arial" w:hAnsi="Arial" w:cs="Arial"/>
                <w:b/>
                <w:bCs/>
                <w:i/>
                <w:color w:val="000000"/>
                <w:sz w:val="22"/>
                <w:szCs w:val="22"/>
                <w:lang w:val="es-CR"/>
              </w:rPr>
            </w:pPr>
          </w:p>
          <w:p w:rsidR="00C041A7" w:rsidRPr="00C041A7" w:rsidRDefault="00C041A7" w:rsidP="00C041A7">
            <w:pPr>
              <w:jc w:val="center"/>
              <w:rPr>
                <w:rFonts w:ascii="Arial" w:hAnsi="Arial" w:cs="Arial"/>
                <w:b/>
                <w:bCs/>
                <w:i/>
                <w:color w:val="000000"/>
                <w:sz w:val="22"/>
                <w:szCs w:val="22"/>
                <w:lang w:val="es-CR"/>
              </w:rPr>
            </w:pPr>
            <w:r w:rsidRPr="00C041A7">
              <w:rPr>
                <w:rFonts w:ascii="Arial" w:hAnsi="Arial" w:cs="Arial"/>
                <w:b/>
                <w:bCs/>
                <w:i/>
                <w:color w:val="000000"/>
                <w:sz w:val="22"/>
                <w:szCs w:val="22"/>
                <w:lang w:val="es-CR"/>
              </w:rPr>
              <w:t>DATIC</w:t>
            </w:r>
          </w:p>
        </w:tc>
        <w:tc>
          <w:tcPr>
            <w:tcW w:w="1417" w:type="dxa"/>
            <w:shd w:val="clear" w:color="auto" w:fill="auto"/>
            <w:vAlign w:val="center"/>
          </w:tcPr>
          <w:p w:rsidR="00C041A7" w:rsidRPr="00C041A7" w:rsidRDefault="00C041A7" w:rsidP="00C041A7">
            <w:pPr>
              <w:jc w:val="center"/>
              <w:rPr>
                <w:rFonts w:ascii="Arial" w:hAnsi="Arial" w:cs="Arial"/>
                <w:b/>
                <w:bCs/>
                <w:i/>
                <w:color w:val="000000"/>
                <w:sz w:val="22"/>
                <w:szCs w:val="22"/>
                <w:lang w:val="es-CR"/>
              </w:rPr>
            </w:pPr>
            <w:r w:rsidRPr="00C041A7">
              <w:rPr>
                <w:rFonts w:ascii="Arial" w:hAnsi="Arial" w:cs="Arial"/>
                <w:b/>
                <w:bCs/>
                <w:i/>
                <w:color w:val="000000"/>
                <w:sz w:val="22"/>
                <w:szCs w:val="22"/>
                <w:lang w:val="es-CR"/>
              </w:rPr>
              <w:t>G: 15</w:t>
            </w:r>
          </w:p>
          <w:p w:rsidR="00C041A7" w:rsidRPr="00C041A7" w:rsidRDefault="00C041A7" w:rsidP="00C041A7">
            <w:pPr>
              <w:jc w:val="center"/>
              <w:rPr>
                <w:rFonts w:ascii="Arial" w:hAnsi="Arial" w:cs="Arial"/>
                <w:b/>
                <w:bCs/>
                <w:i/>
                <w:color w:val="000000"/>
                <w:sz w:val="22"/>
                <w:szCs w:val="22"/>
                <w:lang w:val="es-CR"/>
              </w:rPr>
            </w:pPr>
            <w:r w:rsidRPr="00C041A7">
              <w:rPr>
                <w:rFonts w:ascii="Arial" w:hAnsi="Arial" w:cs="Arial"/>
                <w:b/>
                <w:bCs/>
                <w:i/>
                <w:color w:val="000000"/>
                <w:sz w:val="22"/>
                <w:szCs w:val="22"/>
                <w:lang w:val="es-CR"/>
              </w:rPr>
              <w:t xml:space="preserve"> </w:t>
            </w:r>
          </w:p>
          <w:p w:rsidR="00C041A7" w:rsidRPr="00C041A7" w:rsidRDefault="00C041A7" w:rsidP="00C041A7">
            <w:pPr>
              <w:jc w:val="center"/>
              <w:rPr>
                <w:rFonts w:ascii="Arial" w:hAnsi="Arial" w:cs="Arial"/>
                <w:b/>
                <w:bCs/>
                <w:i/>
                <w:color w:val="000000"/>
                <w:sz w:val="22"/>
                <w:szCs w:val="22"/>
                <w:lang w:val="es-CR"/>
              </w:rPr>
            </w:pPr>
            <w:r w:rsidRPr="00C041A7">
              <w:rPr>
                <w:rFonts w:ascii="Arial" w:hAnsi="Arial" w:cs="Arial"/>
                <w:b/>
                <w:bCs/>
                <w:i/>
                <w:color w:val="000000"/>
                <w:sz w:val="22"/>
                <w:szCs w:val="22"/>
                <w:lang w:val="es-CR"/>
              </w:rPr>
              <w:t>E: 15.2</w:t>
            </w:r>
          </w:p>
        </w:tc>
      </w:tr>
    </w:tbl>
    <w:p w:rsidR="00C041A7" w:rsidRPr="00C041A7" w:rsidRDefault="00C041A7" w:rsidP="00C041A7">
      <w:pPr>
        <w:autoSpaceDE w:val="0"/>
        <w:autoSpaceDN w:val="0"/>
        <w:adjustRightInd w:val="0"/>
        <w:rPr>
          <w:rFonts w:ascii="Arial" w:eastAsia="Calibri" w:hAnsi="Arial" w:cs="Arial"/>
          <w:i/>
          <w:color w:val="000000"/>
          <w:sz w:val="23"/>
          <w:szCs w:val="23"/>
          <w:lang w:eastAsia="en-US"/>
        </w:rPr>
      </w:pPr>
    </w:p>
    <w:p w:rsidR="00C041A7" w:rsidRPr="00C041A7" w:rsidRDefault="00C041A7" w:rsidP="00C041A7">
      <w:pPr>
        <w:jc w:val="both"/>
        <w:rPr>
          <w:rFonts w:ascii="Arial" w:hAnsi="Arial" w:cs="Arial"/>
          <w:i/>
          <w:sz w:val="16"/>
          <w:szCs w:val="20"/>
          <w:lang w:val="es-CR"/>
        </w:rPr>
      </w:pPr>
    </w:p>
    <w:p w:rsidR="00C041A7" w:rsidRPr="00C041A7" w:rsidRDefault="00C041A7" w:rsidP="00C041A7">
      <w:pPr>
        <w:numPr>
          <w:ilvl w:val="0"/>
          <w:numId w:val="40"/>
        </w:numPr>
        <w:ind w:left="426" w:hanging="426"/>
        <w:contextualSpacing/>
        <w:jc w:val="both"/>
        <w:rPr>
          <w:rFonts w:ascii="Arial" w:hAnsi="Arial" w:cs="Arial"/>
        </w:rPr>
      </w:pPr>
      <w:r w:rsidRPr="00C041A7">
        <w:rPr>
          <w:rFonts w:ascii="Arial" w:hAnsi="Arial" w:cs="Arial"/>
        </w:rPr>
        <w:t xml:space="preserve">La Comisión de Planificación y Administración en la reunión No. 771-2018, realizada el jueves 31 de mayo de 2018, revisó la propuesta </w:t>
      </w:r>
      <w:proofErr w:type="spellStart"/>
      <w:r w:rsidRPr="00C041A7">
        <w:rPr>
          <w:rFonts w:ascii="Arial" w:hAnsi="Arial" w:cs="Arial"/>
        </w:rPr>
        <w:t>supracitada</w:t>
      </w:r>
      <w:proofErr w:type="spellEnd"/>
      <w:r w:rsidRPr="00C041A7">
        <w:rPr>
          <w:rFonts w:ascii="Arial" w:hAnsi="Arial" w:cs="Arial"/>
        </w:rPr>
        <w:t xml:space="preserve"> y dispuso solicitar a la Rectoría la justificación de la modificación de la meta, con el fin de fundamentar la propuesta, para lo cual tramita el oficio SCI-394-2018, con fecha 01 de junio de 2018.</w:t>
      </w:r>
    </w:p>
    <w:p w:rsidR="00C041A7" w:rsidRPr="00C041A7" w:rsidRDefault="00C041A7" w:rsidP="00C041A7">
      <w:pPr>
        <w:jc w:val="both"/>
        <w:rPr>
          <w:rFonts w:ascii="Arial" w:hAnsi="Arial" w:cs="Arial"/>
          <w:i/>
          <w:sz w:val="16"/>
          <w:szCs w:val="20"/>
          <w:lang w:val="es-CR"/>
        </w:rPr>
      </w:pPr>
    </w:p>
    <w:p w:rsidR="00C041A7" w:rsidRPr="00C041A7" w:rsidRDefault="00C041A7" w:rsidP="00C041A7">
      <w:pPr>
        <w:numPr>
          <w:ilvl w:val="0"/>
          <w:numId w:val="40"/>
        </w:numPr>
        <w:ind w:left="426" w:hanging="426"/>
        <w:contextualSpacing/>
        <w:jc w:val="both"/>
        <w:rPr>
          <w:rFonts w:ascii="Arial" w:hAnsi="Arial" w:cs="Arial"/>
        </w:rPr>
      </w:pPr>
      <w:r w:rsidRPr="00C041A7">
        <w:rPr>
          <w:rFonts w:ascii="Arial" w:hAnsi="Arial" w:cs="Arial"/>
        </w:rPr>
        <w:t xml:space="preserve">La Comisión de Planificación y Administración recibe oficio R-670-2018, con fecha de recibido 08 de junio de 2018, suscrito por el Dr. Julio Calvo Alvarado, Rector, dirigido a la </w:t>
      </w:r>
      <w:proofErr w:type="spellStart"/>
      <w:r w:rsidRPr="00C041A7">
        <w:rPr>
          <w:rFonts w:ascii="Arial" w:hAnsi="Arial" w:cs="Arial"/>
        </w:rPr>
        <w:t>MSc</w:t>
      </w:r>
      <w:proofErr w:type="spellEnd"/>
      <w:r w:rsidRPr="00C041A7">
        <w:rPr>
          <w:rFonts w:ascii="Arial" w:hAnsi="Arial" w:cs="Arial"/>
        </w:rPr>
        <w:t>. Ana Rosa Ruiz, Coordinadora de la Comisión de Planificación y Administración, en el cual amplía la justificación   a la propuesta para la aprobación de la meta 5.1.1.4: “Asignar el 50% de los recursos presupuestados para la automatización de sistemas”, según los siguientes argumentos:</w:t>
      </w:r>
    </w:p>
    <w:p w:rsidR="00C041A7" w:rsidRPr="00C041A7" w:rsidRDefault="00C041A7" w:rsidP="00C041A7">
      <w:pPr>
        <w:jc w:val="both"/>
        <w:rPr>
          <w:rFonts w:ascii="Arial" w:hAnsi="Arial" w:cs="Arial"/>
          <w:i/>
          <w:sz w:val="16"/>
          <w:szCs w:val="20"/>
          <w:lang w:val="es-CR"/>
        </w:rPr>
      </w:pPr>
    </w:p>
    <w:p w:rsidR="00C041A7" w:rsidRPr="00C041A7" w:rsidRDefault="00C041A7" w:rsidP="00C041A7">
      <w:pPr>
        <w:numPr>
          <w:ilvl w:val="0"/>
          <w:numId w:val="46"/>
        </w:numPr>
        <w:ind w:left="851" w:right="282"/>
        <w:jc w:val="both"/>
        <w:rPr>
          <w:rFonts w:ascii="Arial" w:eastAsia="Calibri" w:hAnsi="Arial" w:cs="Arial"/>
          <w:i/>
          <w:sz w:val="22"/>
          <w:szCs w:val="22"/>
          <w:lang w:eastAsia="en-US"/>
        </w:rPr>
      </w:pPr>
      <w:r>
        <w:rPr>
          <w:rFonts w:ascii="Arial" w:eastAsia="Calibri" w:hAnsi="Arial" w:cs="Arial"/>
          <w:i/>
          <w:sz w:val="22"/>
          <w:szCs w:val="22"/>
          <w:lang w:eastAsia="en-US"/>
        </w:rPr>
        <w:lastRenderedPageBreak/>
        <w:t>“</w:t>
      </w:r>
      <w:r w:rsidRPr="00C041A7">
        <w:rPr>
          <w:rFonts w:ascii="Arial" w:eastAsia="Calibri" w:hAnsi="Arial" w:cs="Arial"/>
          <w:i/>
          <w:sz w:val="22"/>
          <w:szCs w:val="22"/>
          <w:lang w:eastAsia="en-US"/>
        </w:rPr>
        <w:t>Ante la aprobación del Presupuesto Extraordinario 1-2018 y su vinculación con el Plan Anual Operativo 2018, la Oficina de Planificación mediante el oficio OPI-329-2018 del 11 de mayo, solicita a los encargados de atender esta meta en el Sub-Programa 1.1: Dirección Superior y DATIC, procedan a incorporar las actividades que sustentan ésta, así como la reasignación del porcentaje presupuestario respectivo.</w:t>
      </w:r>
    </w:p>
    <w:p w:rsidR="00C041A7" w:rsidRPr="00C041A7" w:rsidRDefault="00C041A7" w:rsidP="00C041A7">
      <w:pPr>
        <w:numPr>
          <w:ilvl w:val="0"/>
          <w:numId w:val="46"/>
        </w:numPr>
        <w:ind w:left="851" w:right="282"/>
        <w:jc w:val="both"/>
        <w:rPr>
          <w:rFonts w:ascii="Arial" w:eastAsia="Calibri" w:hAnsi="Arial" w:cs="Arial"/>
          <w:i/>
          <w:sz w:val="22"/>
          <w:szCs w:val="22"/>
          <w:lang w:eastAsia="en-US"/>
        </w:rPr>
      </w:pPr>
      <w:r w:rsidRPr="00C041A7">
        <w:rPr>
          <w:rFonts w:ascii="Arial" w:eastAsia="Calibri" w:hAnsi="Arial" w:cs="Arial"/>
          <w:i/>
          <w:sz w:val="22"/>
          <w:szCs w:val="22"/>
          <w:lang w:eastAsia="en-US"/>
        </w:rPr>
        <w:t>La Rectoría, mediante el oficio R-616-2018, del 28 de mayo, solicita a los señores miembros del Consejo de Rectoría, el cambio de redacción en la meta; además de ser analizado el tema en sesión del Consejo de Rectoría</w:t>
      </w:r>
    </w:p>
    <w:p w:rsidR="00C041A7" w:rsidRPr="00C041A7" w:rsidRDefault="00C041A7" w:rsidP="00C041A7">
      <w:pPr>
        <w:ind w:left="851" w:right="282"/>
        <w:contextualSpacing/>
        <w:rPr>
          <w:rFonts w:ascii="Arial" w:hAnsi="Arial" w:cs="Arial"/>
          <w:i/>
          <w:sz w:val="16"/>
          <w:szCs w:val="16"/>
        </w:rPr>
      </w:pPr>
    </w:p>
    <w:p w:rsidR="00C041A7" w:rsidRPr="00C041A7" w:rsidRDefault="00C041A7" w:rsidP="00C041A7">
      <w:pPr>
        <w:numPr>
          <w:ilvl w:val="0"/>
          <w:numId w:val="46"/>
        </w:numPr>
        <w:ind w:left="851" w:right="282"/>
        <w:jc w:val="both"/>
        <w:rPr>
          <w:rFonts w:ascii="Arial" w:eastAsia="Calibri" w:hAnsi="Arial" w:cs="Arial"/>
          <w:i/>
          <w:sz w:val="22"/>
          <w:szCs w:val="22"/>
          <w:lang w:eastAsia="en-US"/>
        </w:rPr>
      </w:pPr>
      <w:r w:rsidRPr="00C041A7">
        <w:rPr>
          <w:rFonts w:ascii="Arial" w:eastAsia="Calibri" w:hAnsi="Arial" w:cs="Arial"/>
          <w:i/>
          <w:sz w:val="22"/>
          <w:szCs w:val="22"/>
          <w:lang w:eastAsia="en-US"/>
        </w:rPr>
        <w:t>El Consejo de Rectoría, en su Sesión No. 19-2018, analiza la solicitud de cambio de meta. El Vicerrector de Administración, Dr. Humberto Villalta explica que hay imposibilidad material en tiempo para la ejecución de la misma al 100%, ello por varias razones:</w:t>
      </w:r>
    </w:p>
    <w:p w:rsidR="00C041A7" w:rsidRPr="00C041A7" w:rsidRDefault="00C041A7" w:rsidP="00C041A7">
      <w:pPr>
        <w:ind w:left="851" w:right="282"/>
        <w:contextualSpacing/>
        <w:rPr>
          <w:rFonts w:ascii="Arial" w:hAnsi="Arial" w:cs="Arial"/>
          <w:i/>
          <w:sz w:val="16"/>
          <w:szCs w:val="16"/>
        </w:rPr>
      </w:pPr>
    </w:p>
    <w:p w:rsidR="00C041A7" w:rsidRPr="00C041A7" w:rsidRDefault="00C041A7" w:rsidP="00C041A7">
      <w:pPr>
        <w:numPr>
          <w:ilvl w:val="1"/>
          <w:numId w:val="46"/>
        </w:numPr>
        <w:ind w:left="1276" w:right="424" w:hanging="447"/>
        <w:jc w:val="both"/>
        <w:rPr>
          <w:rFonts w:ascii="Arial" w:eastAsia="Calibri" w:hAnsi="Arial" w:cs="Arial"/>
          <w:i/>
          <w:sz w:val="22"/>
          <w:szCs w:val="22"/>
          <w:lang w:eastAsia="en-US"/>
        </w:rPr>
      </w:pPr>
      <w:r w:rsidRPr="00C041A7">
        <w:rPr>
          <w:rFonts w:ascii="Arial" w:eastAsia="Calibri" w:hAnsi="Arial" w:cs="Arial"/>
          <w:i/>
          <w:sz w:val="22"/>
          <w:szCs w:val="22"/>
          <w:lang w:eastAsia="en-US"/>
        </w:rPr>
        <w:t>Aún no ha sido aprobado el Plan Estratégico de TI (PETI), ni los ajustes presentados en el oficio VAD-647-2017, del 18 de setiembre, en atención a la solicitud mediante oficio SCI-298-2017. Dicho documento contiene un plan de inversión anual, para cumplir las normas básicas del COBIT 5.</w:t>
      </w:r>
    </w:p>
    <w:p w:rsidR="00C041A7" w:rsidRPr="00C041A7" w:rsidRDefault="00C041A7" w:rsidP="00C041A7">
      <w:pPr>
        <w:numPr>
          <w:ilvl w:val="1"/>
          <w:numId w:val="46"/>
        </w:numPr>
        <w:ind w:left="1276" w:right="424" w:hanging="447"/>
        <w:jc w:val="both"/>
        <w:rPr>
          <w:rFonts w:ascii="Arial" w:eastAsia="Calibri" w:hAnsi="Arial" w:cs="Arial"/>
          <w:i/>
          <w:sz w:val="22"/>
          <w:szCs w:val="22"/>
          <w:lang w:eastAsia="en-US"/>
        </w:rPr>
      </w:pPr>
      <w:r w:rsidRPr="00C041A7">
        <w:rPr>
          <w:rFonts w:ascii="Arial" w:eastAsia="Calibri" w:hAnsi="Arial" w:cs="Arial"/>
          <w:i/>
          <w:sz w:val="22"/>
          <w:szCs w:val="22"/>
          <w:lang w:eastAsia="en-US"/>
        </w:rPr>
        <w:t>Existe un diagnóstico de la problemática presentada hoy día en los sistemas desarrollados, que marcan una nueva prioridad en las inversiones a efectuar.</w:t>
      </w:r>
    </w:p>
    <w:p w:rsidR="00C041A7" w:rsidRPr="00C041A7" w:rsidRDefault="00C041A7" w:rsidP="00C041A7">
      <w:pPr>
        <w:numPr>
          <w:ilvl w:val="1"/>
          <w:numId w:val="46"/>
        </w:numPr>
        <w:ind w:left="1276" w:right="424" w:hanging="447"/>
        <w:jc w:val="both"/>
        <w:rPr>
          <w:rFonts w:ascii="Arial" w:eastAsia="Calibri" w:hAnsi="Arial" w:cs="Arial"/>
          <w:i/>
          <w:sz w:val="22"/>
          <w:szCs w:val="22"/>
          <w:lang w:eastAsia="en-US"/>
        </w:rPr>
      </w:pPr>
      <w:r w:rsidRPr="00C041A7">
        <w:rPr>
          <w:rFonts w:ascii="Arial" w:eastAsia="Calibri" w:hAnsi="Arial" w:cs="Arial"/>
          <w:i/>
          <w:sz w:val="22"/>
          <w:szCs w:val="22"/>
          <w:lang w:eastAsia="en-US"/>
        </w:rPr>
        <w:t xml:space="preserve">La ejecución presupuestaria en esta magnitud debe considerarse que no necesariamente se pueda ejecutar en un lapso de un año, dado que hay sistemas que su desarrollo amerite más de 2 años y son compromisos para el siguiente año. </w:t>
      </w:r>
    </w:p>
    <w:p w:rsidR="00C041A7" w:rsidRPr="00C041A7" w:rsidRDefault="00C041A7" w:rsidP="00C041A7">
      <w:pPr>
        <w:numPr>
          <w:ilvl w:val="1"/>
          <w:numId w:val="46"/>
        </w:numPr>
        <w:ind w:left="1276" w:right="424" w:hanging="447"/>
        <w:jc w:val="both"/>
        <w:rPr>
          <w:rFonts w:ascii="Arial" w:eastAsia="Calibri" w:hAnsi="Arial" w:cs="Arial"/>
          <w:i/>
          <w:sz w:val="22"/>
          <w:szCs w:val="22"/>
          <w:lang w:eastAsia="en-US"/>
        </w:rPr>
      </w:pPr>
      <w:r w:rsidRPr="00C041A7">
        <w:rPr>
          <w:rFonts w:ascii="Arial" w:eastAsia="Calibri" w:hAnsi="Arial" w:cs="Arial"/>
          <w:i/>
          <w:sz w:val="22"/>
          <w:szCs w:val="22"/>
          <w:lang w:eastAsia="en-US"/>
        </w:rPr>
        <w:t>La reserva al día de hoy tiene un monto alto de 895 millones de colones y hasta que no se concluya el diagnóstico no es conveniente asignar recursos y por los tiempos de diseño y desarrollo del software es muy difícil su ejecución en este año.</w:t>
      </w:r>
    </w:p>
    <w:p w:rsidR="00C041A7" w:rsidRPr="00C041A7" w:rsidRDefault="00C041A7" w:rsidP="00C041A7">
      <w:pPr>
        <w:ind w:left="720"/>
        <w:contextualSpacing/>
        <w:rPr>
          <w:rFonts w:ascii="Arial" w:hAnsi="Arial" w:cs="Arial"/>
          <w:i/>
          <w:sz w:val="16"/>
          <w:szCs w:val="16"/>
        </w:rPr>
      </w:pPr>
    </w:p>
    <w:p w:rsidR="00C041A7" w:rsidRPr="00C041A7" w:rsidRDefault="00C041A7" w:rsidP="00C041A7">
      <w:pPr>
        <w:ind w:left="491" w:right="282"/>
        <w:jc w:val="both"/>
        <w:rPr>
          <w:rFonts w:ascii="Arial" w:eastAsia="Calibri" w:hAnsi="Arial" w:cs="Arial"/>
          <w:i/>
          <w:sz w:val="22"/>
          <w:szCs w:val="22"/>
          <w:lang w:eastAsia="en-US"/>
        </w:rPr>
      </w:pPr>
      <w:r w:rsidRPr="00C041A7">
        <w:rPr>
          <w:rFonts w:ascii="Arial" w:eastAsia="Calibri" w:hAnsi="Arial" w:cs="Arial"/>
          <w:i/>
          <w:sz w:val="22"/>
          <w:szCs w:val="22"/>
          <w:lang w:eastAsia="en-US"/>
        </w:rPr>
        <w:t>SE SOLICITA:</w:t>
      </w:r>
    </w:p>
    <w:p w:rsidR="00C041A7" w:rsidRPr="00C041A7" w:rsidRDefault="00C041A7" w:rsidP="00C041A7">
      <w:pPr>
        <w:ind w:left="720"/>
        <w:contextualSpacing/>
        <w:rPr>
          <w:rFonts w:ascii="Arial" w:hAnsi="Arial" w:cs="Arial"/>
          <w:i/>
          <w:sz w:val="16"/>
          <w:szCs w:val="16"/>
        </w:rPr>
      </w:pPr>
    </w:p>
    <w:p w:rsidR="00C041A7" w:rsidRPr="00C041A7" w:rsidRDefault="00C041A7" w:rsidP="00C041A7">
      <w:pPr>
        <w:numPr>
          <w:ilvl w:val="0"/>
          <w:numId w:val="47"/>
        </w:numPr>
        <w:ind w:right="282"/>
        <w:jc w:val="both"/>
        <w:rPr>
          <w:rFonts w:ascii="Arial" w:eastAsia="Calibri" w:hAnsi="Arial" w:cs="Arial"/>
          <w:i/>
          <w:sz w:val="22"/>
          <w:szCs w:val="22"/>
          <w:lang w:eastAsia="en-US"/>
        </w:rPr>
      </w:pPr>
      <w:r w:rsidRPr="00C041A7">
        <w:rPr>
          <w:rFonts w:ascii="Arial" w:eastAsia="Calibri" w:hAnsi="Arial" w:cs="Arial"/>
          <w:i/>
          <w:sz w:val="22"/>
          <w:szCs w:val="22"/>
          <w:lang w:eastAsia="en-US"/>
        </w:rPr>
        <w:t>Modificar la meta 5.1.1.4 a: “Asignar el 50% de los recursos presupuestarios para la automatización de sistemas”, asignada al Sub-programa 1.1 de la Dirección Superior”</w:t>
      </w:r>
    </w:p>
    <w:p w:rsidR="00C041A7" w:rsidRPr="00C041A7" w:rsidRDefault="00C041A7" w:rsidP="00C041A7">
      <w:pPr>
        <w:jc w:val="both"/>
        <w:rPr>
          <w:rFonts w:ascii="Arial" w:hAnsi="Arial" w:cs="Arial"/>
          <w:b/>
          <w:i/>
          <w:caps/>
          <w:sz w:val="16"/>
          <w:szCs w:val="20"/>
          <w:lang w:val="es-CR"/>
        </w:rPr>
      </w:pPr>
    </w:p>
    <w:p w:rsidR="00C041A7" w:rsidRDefault="00C041A7" w:rsidP="00C041A7">
      <w:pPr>
        <w:numPr>
          <w:ilvl w:val="0"/>
          <w:numId w:val="40"/>
        </w:numPr>
        <w:ind w:left="426" w:hanging="426"/>
        <w:contextualSpacing/>
        <w:jc w:val="both"/>
        <w:rPr>
          <w:rFonts w:ascii="Arial" w:hAnsi="Arial" w:cs="Arial"/>
        </w:rPr>
      </w:pPr>
      <w:r w:rsidRPr="00C041A7">
        <w:rPr>
          <w:rFonts w:ascii="Arial" w:hAnsi="Arial" w:cs="Arial"/>
        </w:rPr>
        <w:t>La Comisión de Planificación y Administración en la reunión No. 775-2018, del 21 de junio de 2018, conoce la ampliación de la información sobre la modificación al Plan Anual Operativo 2018, producto del Presupuesto Extraordinario No. 1-2018, para la transformación de la meta 5.1.1.4 y dispone elevar la propuesta al Consejo Institucional con el fin de que responda a:</w:t>
      </w:r>
    </w:p>
    <w:p w:rsidR="00C041A7" w:rsidRPr="00C041A7" w:rsidRDefault="00C041A7" w:rsidP="00C041A7">
      <w:pPr>
        <w:ind w:left="426"/>
        <w:contextualSpacing/>
        <w:jc w:val="both"/>
        <w:rPr>
          <w:rFonts w:ascii="Arial" w:hAnsi="Arial" w:cs="Arial"/>
        </w:rPr>
      </w:pPr>
    </w:p>
    <w:p w:rsidR="00C041A7" w:rsidRDefault="00C041A7" w:rsidP="00C041A7">
      <w:pPr>
        <w:numPr>
          <w:ilvl w:val="1"/>
          <w:numId w:val="40"/>
        </w:numPr>
        <w:contextualSpacing/>
        <w:jc w:val="both"/>
        <w:rPr>
          <w:rFonts w:ascii="Arial" w:hAnsi="Arial" w:cs="Arial"/>
        </w:rPr>
      </w:pPr>
      <w:r w:rsidRPr="00C041A7">
        <w:rPr>
          <w:rFonts w:ascii="Arial" w:hAnsi="Arial" w:cs="Arial"/>
        </w:rPr>
        <w:t>Auditoría Externa 2017 a los sistemas de información del TEC realizada por el Despacho Carvajal &amp; Colegiados</w:t>
      </w:r>
      <w:r>
        <w:rPr>
          <w:rFonts w:ascii="Arial" w:hAnsi="Arial" w:cs="Arial"/>
        </w:rPr>
        <w:t>.</w:t>
      </w:r>
    </w:p>
    <w:p w:rsidR="00C041A7" w:rsidRPr="00C041A7" w:rsidRDefault="00C041A7" w:rsidP="00C041A7">
      <w:pPr>
        <w:ind w:left="1440"/>
        <w:contextualSpacing/>
        <w:jc w:val="both"/>
        <w:rPr>
          <w:rFonts w:ascii="Arial" w:hAnsi="Arial" w:cs="Arial"/>
        </w:rPr>
      </w:pPr>
    </w:p>
    <w:p w:rsidR="00C041A7" w:rsidRPr="00C041A7" w:rsidRDefault="00C041A7" w:rsidP="00C041A7">
      <w:pPr>
        <w:numPr>
          <w:ilvl w:val="1"/>
          <w:numId w:val="40"/>
        </w:numPr>
        <w:contextualSpacing/>
        <w:jc w:val="both"/>
        <w:rPr>
          <w:rFonts w:ascii="Arial" w:hAnsi="Arial" w:cs="Arial"/>
        </w:rPr>
      </w:pPr>
      <w:r w:rsidRPr="00C041A7">
        <w:rPr>
          <w:rFonts w:ascii="Arial" w:hAnsi="Arial" w:cs="Arial"/>
        </w:rPr>
        <w:t xml:space="preserve">A las recomendaciones expuestas por Dr. Humberto Villalta Solano, </w:t>
      </w:r>
      <w:r>
        <w:rPr>
          <w:rFonts w:ascii="Arial" w:hAnsi="Arial" w:cs="Arial"/>
        </w:rPr>
        <w:t>V</w:t>
      </w:r>
      <w:r w:rsidRPr="00C041A7">
        <w:rPr>
          <w:rFonts w:ascii="Arial" w:hAnsi="Arial" w:cs="Arial"/>
        </w:rPr>
        <w:t xml:space="preserve">icerrector de la Vicerrectoría de Administración, según Oficio VAD-398-2018 del 15 de junio del 2018, donde presenta el Informe del diagnóstico realizado a los proyectos de automatización en desarrollo, propuesta del “Modelo de Gobernanza” a seguir, propuesta de disposiciones sobre uso de las </w:t>
      </w:r>
      <w:proofErr w:type="spellStart"/>
      <w:r w:rsidRPr="00C041A7">
        <w:rPr>
          <w:rFonts w:ascii="Arial" w:hAnsi="Arial" w:cs="Arial"/>
        </w:rPr>
        <w:t>Tic´s</w:t>
      </w:r>
      <w:proofErr w:type="spellEnd"/>
      <w:r w:rsidRPr="00C041A7">
        <w:rPr>
          <w:rFonts w:ascii="Arial" w:hAnsi="Arial" w:cs="Arial"/>
        </w:rPr>
        <w:t xml:space="preserve"> y solicitudes de nuevos requerimientos de automatización por programas.</w:t>
      </w:r>
    </w:p>
    <w:p w:rsidR="00C041A7" w:rsidRPr="00C041A7" w:rsidRDefault="00C041A7" w:rsidP="00C041A7">
      <w:pPr>
        <w:jc w:val="both"/>
        <w:rPr>
          <w:rFonts w:ascii="Arial" w:hAnsi="Arial" w:cs="Arial"/>
          <w:sz w:val="16"/>
          <w:szCs w:val="16"/>
        </w:rPr>
      </w:pPr>
    </w:p>
    <w:p w:rsidR="00C041A7" w:rsidRPr="00C041A7" w:rsidRDefault="00C041A7" w:rsidP="00C041A7">
      <w:pPr>
        <w:jc w:val="both"/>
        <w:rPr>
          <w:rFonts w:ascii="Arial" w:eastAsia="Arial Unicode MS" w:hAnsi="Arial" w:cs="Arial"/>
          <w:b/>
          <w:bCs/>
        </w:rPr>
      </w:pPr>
      <w:r w:rsidRPr="00C041A7">
        <w:rPr>
          <w:rFonts w:ascii="Arial" w:eastAsia="Arial Unicode MS" w:hAnsi="Arial" w:cs="Arial"/>
          <w:b/>
          <w:bCs/>
        </w:rPr>
        <w:t>SE</w:t>
      </w:r>
      <w:r>
        <w:rPr>
          <w:rFonts w:ascii="Arial" w:eastAsia="Arial Unicode MS" w:hAnsi="Arial" w:cs="Arial"/>
          <w:b/>
          <w:bCs/>
        </w:rPr>
        <w:t xml:space="preserve"> ACUERDA</w:t>
      </w:r>
      <w:r w:rsidRPr="00C041A7">
        <w:rPr>
          <w:rFonts w:ascii="Arial" w:eastAsia="Arial Unicode MS" w:hAnsi="Arial" w:cs="Arial"/>
          <w:b/>
          <w:bCs/>
        </w:rPr>
        <w:t>:</w:t>
      </w:r>
    </w:p>
    <w:p w:rsidR="00C041A7" w:rsidRPr="00C041A7" w:rsidRDefault="00C041A7" w:rsidP="00C041A7">
      <w:pPr>
        <w:ind w:left="1428"/>
        <w:contextualSpacing/>
        <w:rPr>
          <w:rFonts w:ascii="Arial" w:eastAsia="Arial Unicode MS" w:hAnsi="Arial" w:cs="Arial"/>
          <w:i/>
          <w:sz w:val="16"/>
          <w:szCs w:val="16"/>
        </w:rPr>
      </w:pPr>
    </w:p>
    <w:p w:rsidR="00C041A7" w:rsidRPr="00C041A7" w:rsidRDefault="00C041A7" w:rsidP="00C041A7">
      <w:pPr>
        <w:numPr>
          <w:ilvl w:val="0"/>
          <w:numId w:val="45"/>
        </w:numPr>
        <w:ind w:left="350"/>
        <w:jc w:val="both"/>
        <w:rPr>
          <w:rFonts w:ascii="Arial" w:hAnsi="Arial" w:cs="Arial"/>
        </w:rPr>
      </w:pPr>
      <w:r w:rsidRPr="00C041A7">
        <w:rPr>
          <w:rFonts w:ascii="Arial" w:hAnsi="Arial" w:cs="Arial"/>
        </w:rPr>
        <w:t>Aprobar la modificación al Plan Anual Operativo 2018, producto del Presupuesto Extraordinario 1-2018, para la modificación de la meta 5.1.1.4, según se muestra en el siguiente cuadro:</w:t>
      </w:r>
    </w:p>
    <w:p w:rsidR="00C041A7" w:rsidRPr="00C041A7" w:rsidRDefault="00C041A7" w:rsidP="00C041A7">
      <w:pPr>
        <w:rPr>
          <w:rFonts w:ascii="Arial" w:hAnsi="Arial" w:cs="Arial"/>
          <w:i/>
          <w:sz w:val="23"/>
          <w:szCs w:val="23"/>
          <w:lang w:val="es-CR"/>
        </w:rPr>
      </w:pP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2"/>
        <w:gridCol w:w="2059"/>
        <w:gridCol w:w="1059"/>
        <w:gridCol w:w="1843"/>
        <w:gridCol w:w="2060"/>
        <w:gridCol w:w="1417"/>
      </w:tblGrid>
      <w:tr w:rsidR="00C041A7" w:rsidRPr="00C041A7" w:rsidTr="00291012">
        <w:trPr>
          <w:trHeight w:val="396"/>
          <w:tblHeader/>
        </w:trPr>
        <w:tc>
          <w:tcPr>
            <w:tcW w:w="2052" w:type="dxa"/>
            <w:shd w:val="clear" w:color="auto" w:fill="BFBFBF"/>
            <w:vAlign w:val="center"/>
            <w:hideMark/>
          </w:tcPr>
          <w:p w:rsidR="00C041A7" w:rsidRPr="00C041A7" w:rsidRDefault="00C041A7" w:rsidP="00C041A7">
            <w:pPr>
              <w:jc w:val="center"/>
              <w:rPr>
                <w:rFonts w:ascii="Arial" w:hAnsi="Arial" w:cs="Arial"/>
                <w:b/>
                <w:bCs/>
                <w:i/>
                <w:color w:val="000000"/>
                <w:sz w:val="22"/>
                <w:szCs w:val="22"/>
                <w:lang w:val="es-CR" w:eastAsia="es-CR"/>
              </w:rPr>
            </w:pPr>
            <w:r w:rsidRPr="00C041A7">
              <w:rPr>
                <w:rFonts w:ascii="Arial" w:hAnsi="Arial" w:cs="Arial"/>
                <w:b/>
                <w:bCs/>
                <w:i/>
                <w:color w:val="000000"/>
                <w:sz w:val="22"/>
                <w:szCs w:val="22"/>
                <w:lang w:val="es-CR"/>
              </w:rPr>
              <w:t>PROGRAMA</w:t>
            </w:r>
          </w:p>
        </w:tc>
        <w:tc>
          <w:tcPr>
            <w:tcW w:w="2059" w:type="dxa"/>
            <w:shd w:val="clear" w:color="auto" w:fill="BFBFBF"/>
            <w:vAlign w:val="center"/>
            <w:hideMark/>
          </w:tcPr>
          <w:p w:rsidR="00C041A7" w:rsidRPr="00C041A7" w:rsidRDefault="00C041A7" w:rsidP="00C041A7">
            <w:pPr>
              <w:jc w:val="center"/>
              <w:rPr>
                <w:rFonts w:ascii="Arial" w:hAnsi="Arial" w:cs="Arial"/>
                <w:b/>
                <w:bCs/>
                <w:i/>
                <w:color w:val="000000"/>
                <w:sz w:val="22"/>
                <w:szCs w:val="22"/>
                <w:lang w:val="es-CR"/>
              </w:rPr>
            </w:pPr>
            <w:r w:rsidRPr="00C041A7">
              <w:rPr>
                <w:rFonts w:ascii="Arial" w:hAnsi="Arial" w:cs="Arial"/>
                <w:b/>
                <w:bCs/>
                <w:i/>
                <w:color w:val="000000"/>
                <w:sz w:val="22"/>
                <w:szCs w:val="22"/>
                <w:lang w:val="es-CR"/>
              </w:rPr>
              <w:t>METAS </w:t>
            </w:r>
          </w:p>
        </w:tc>
        <w:tc>
          <w:tcPr>
            <w:tcW w:w="1059" w:type="dxa"/>
            <w:shd w:val="clear" w:color="auto" w:fill="BFBFBF"/>
            <w:vAlign w:val="center"/>
            <w:hideMark/>
          </w:tcPr>
          <w:p w:rsidR="00C041A7" w:rsidRPr="00C041A7" w:rsidRDefault="00C041A7" w:rsidP="00C041A7">
            <w:pPr>
              <w:jc w:val="center"/>
              <w:rPr>
                <w:rFonts w:ascii="Arial" w:hAnsi="Arial" w:cs="Arial"/>
                <w:b/>
                <w:bCs/>
                <w:i/>
                <w:color w:val="000000"/>
                <w:sz w:val="22"/>
                <w:szCs w:val="22"/>
                <w:lang w:val="es-CR"/>
              </w:rPr>
            </w:pPr>
            <w:r w:rsidRPr="00C041A7">
              <w:rPr>
                <w:rFonts w:ascii="Arial" w:hAnsi="Arial" w:cs="Arial"/>
                <w:b/>
                <w:bCs/>
                <w:i/>
                <w:color w:val="000000"/>
                <w:sz w:val="22"/>
                <w:szCs w:val="22"/>
                <w:lang w:val="es-CR"/>
              </w:rPr>
              <w:t>TIPO DE META</w:t>
            </w:r>
          </w:p>
        </w:tc>
        <w:tc>
          <w:tcPr>
            <w:tcW w:w="1843" w:type="dxa"/>
            <w:shd w:val="clear" w:color="auto" w:fill="BFBFBF"/>
            <w:vAlign w:val="center"/>
            <w:hideMark/>
          </w:tcPr>
          <w:p w:rsidR="00C041A7" w:rsidRPr="00C041A7" w:rsidRDefault="00C041A7" w:rsidP="00C041A7">
            <w:pPr>
              <w:jc w:val="center"/>
              <w:rPr>
                <w:rFonts w:ascii="Arial" w:hAnsi="Arial" w:cs="Arial"/>
                <w:b/>
                <w:bCs/>
                <w:i/>
                <w:color w:val="000000"/>
                <w:sz w:val="22"/>
                <w:szCs w:val="22"/>
                <w:lang w:val="es-CR"/>
              </w:rPr>
            </w:pPr>
            <w:r w:rsidRPr="00C041A7">
              <w:rPr>
                <w:rFonts w:ascii="Arial" w:hAnsi="Arial" w:cs="Arial"/>
                <w:b/>
                <w:bCs/>
                <w:i/>
                <w:color w:val="000000"/>
                <w:sz w:val="22"/>
                <w:szCs w:val="22"/>
                <w:lang w:val="es-CR"/>
              </w:rPr>
              <w:t>INDICADORES</w:t>
            </w:r>
          </w:p>
        </w:tc>
        <w:tc>
          <w:tcPr>
            <w:tcW w:w="2060" w:type="dxa"/>
            <w:shd w:val="clear" w:color="auto" w:fill="BFBFBF"/>
            <w:vAlign w:val="center"/>
            <w:hideMark/>
          </w:tcPr>
          <w:p w:rsidR="00C041A7" w:rsidRPr="00C041A7" w:rsidRDefault="00C041A7" w:rsidP="00C041A7">
            <w:pPr>
              <w:jc w:val="center"/>
              <w:rPr>
                <w:rFonts w:ascii="Arial" w:hAnsi="Arial" w:cs="Arial"/>
                <w:b/>
                <w:bCs/>
                <w:i/>
                <w:color w:val="000000"/>
                <w:sz w:val="22"/>
                <w:szCs w:val="22"/>
                <w:lang w:val="es-CR"/>
              </w:rPr>
            </w:pPr>
            <w:r w:rsidRPr="00C041A7">
              <w:rPr>
                <w:rFonts w:ascii="Arial" w:hAnsi="Arial" w:cs="Arial"/>
                <w:b/>
                <w:bCs/>
                <w:i/>
                <w:color w:val="000000"/>
                <w:sz w:val="22"/>
                <w:szCs w:val="22"/>
                <w:lang w:val="es-CR"/>
              </w:rPr>
              <w:t>RESPONSABLES</w:t>
            </w:r>
          </w:p>
        </w:tc>
        <w:tc>
          <w:tcPr>
            <w:tcW w:w="1417" w:type="dxa"/>
            <w:shd w:val="clear" w:color="auto" w:fill="BFBFBF"/>
            <w:vAlign w:val="center"/>
            <w:hideMark/>
          </w:tcPr>
          <w:p w:rsidR="00C041A7" w:rsidRPr="00C041A7" w:rsidRDefault="00C041A7" w:rsidP="00C041A7">
            <w:pPr>
              <w:jc w:val="center"/>
              <w:rPr>
                <w:rFonts w:ascii="Arial" w:hAnsi="Arial" w:cs="Arial"/>
                <w:b/>
                <w:bCs/>
                <w:i/>
                <w:color w:val="000000"/>
                <w:sz w:val="22"/>
                <w:szCs w:val="22"/>
                <w:lang w:val="es-CR"/>
              </w:rPr>
            </w:pPr>
            <w:r w:rsidRPr="00C041A7">
              <w:rPr>
                <w:rFonts w:ascii="Arial" w:hAnsi="Arial" w:cs="Arial"/>
                <w:b/>
                <w:bCs/>
                <w:i/>
                <w:color w:val="000000"/>
                <w:sz w:val="22"/>
                <w:szCs w:val="22"/>
                <w:lang w:val="es-CR"/>
              </w:rPr>
              <w:t>POLÍTICAS INST. </w:t>
            </w:r>
          </w:p>
        </w:tc>
      </w:tr>
      <w:tr w:rsidR="00C041A7" w:rsidRPr="00C041A7" w:rsidTr="00291012">
        <w:trPr>
          <w:trHeight w:val="396"/>
          <w:tblHeader/>
        </w:trPr>
        <w:tc>
          <w:tcPr>
            <w:tcW w:w="2052" w:type="dxa"/>
            <w:shd w:val="clear" w:color="auto" w:fill="auto"/>
            <w:vAlign w:val="center"/>
          </w:tcPr>
          <w:p w:rsidR="00C041A7" w:rsidRPr="00C041A7" w:rsidRDefault="00C041A7" w:rsidP="00C041A7">
            <w:pPr>
              <w:jc w:val="center"/>
              <w:rPr>
                <w:rFonts w:ascii="Arial" w:hAnsi="Arial" w:cs="Arial"/>
                <w:b/>
                <w:bCs/>
                <w:i/>
                <w:color w:val="000000"/>
                <w:sz w:val="22"/>
                <w:szCs w:val="22"/>
                <w:lang w:val="es-CR"/>
              </w:rPr>
            </w:pPr>
            <w:r w:rsidRPr="00C041A7">
              <w:rPr>
                <w:rFonts w:ascii="Arial" w:hAnsi="Arial" w:cs="Arial"/>
                <w:i/>
                <w:color w:val="000000"/>
                <w:sz w:val="22"/>
                <w:szCs w:val="22"/>
                <w:lang w:val="es-CR"/>
              </w:rPr>
              <w:t>PROGRAMA 1:  ADMINISTRACIÓN</w:t>
            </w:r>
            <w:r w:rsidRPr="00C041A7">
              <w:rPr>
                <w:rFonts w:ascii="Arial" w:hAnsi="Arial" w:cs="Arial"/>
                <w:i/>
                <w:color w:val="000000"/>
                <w:sz w:val="22"/>
                <w:szCs w:val="22"/>
                <w:lang w:val="es-CR"/>
              </w:rPr>
              <w:br/>
            </w:r>
            <w:r w:rsidRPr="00C041A7">
              <w:rPr>
                <w:rFonts w:ascii="Arial" w:hAnsi="Arial" w:cs="Arial"/>
                <w:i/>
                <w:color w:val="000000"/>
                <w:sz w:val="22"/>
                <w:szCs w:val="22"/>
                <w:lang w:val="es-CR"/>
              </w:rPr>
              <w:br/>
              <w:t>Sub-Programa 1.1 Dirección Superior</w:t>
            </w:r>
          </w:p>
        </w:tc>
        <w:tc>
          <w:tcPr>
            <w:tcW w:w="2059" w:type="dxa"/>
            <w:shd w:val="clear" w:color="auto" w:fill="auto"/>
            <w:vAlign w:val="center"/>
          </w:tcPr>
          <w:p w:rsidR="00C041A7" w:rsidRPr="00C041A7" w:rsidRDefault="00C041A7" w:rsidP="00C041A7">
            <w:pPr>
              <w:rPr>
                <w:rFonts w:ascii="Arial" w:hAnsi="Arial" w:cs="Arial"/>
                <w:b/>
                <w:bCs/>
                <w:i/>
                <w:sz w:val="22"/>
                <w:szCs w:val="22"/>
                <w:lang w:val="es-CR"/>
              </w:rPr>
            </w:pPr>
            <w:r w:rsidRPr="00C041A7">
              <w:rPr>
                <w:rFonts w:ascii="Arial" w:hAnsi="Arial" w:cs="Arial"/>
                <w:i/>
                <w:sz w:val="22"/>
                <w:szCs w:val="22"/>
                <w:lang w:val="es-CR"/>
              </w:rPr>
              <w:t xml:space="preserve"> </w:t>
            </w:r>
            <w:r w:rsidRPr="00C041A7">
              <w:rPr>
                <w:rFonts w:ascii="Arial" w:hAnsi="Arial" w:cs="Arial"/>
                <w:i/>
                <w:iCs/>
                <w:sz w:val="22"/>
                <w:szCs w:val="22"/>
                <w:lang w:val="es-CR"/>
              </w:rPr>
              <w:t>5.1.1.4 Asignar el 50% de los recursos presupuestados para la automatización de sistemas”.</w:t>
            </w:r>
          </w:p>
        </w:tc>
        <w:tc>
          <w:tcPr>
            <w:tcW w:w="1059" w:type="dxa"/>
            <w:shd w:val="clear" w:color="auto" w:fill="auto"/>
            <w:vAlign w:val="center"/>
          </w:tcPr>
          <w:p w:rsidR="00C041A7" w:rsidRPr="00C041A7" w:rsidRDefault="00C041A7" w:rsidP="00C041A7">
            <w:pPr>
              <w:jc w:val="center"/>
              <w:rPr>
                <w:rFonts w:ascii="Arial" w:hAnsi="Arial" w:cs="Arial"/>
                <w:b/>
                <w:bCs/>
                <w:i/>
                <w:color w:val="000000"/>
                <w:sz w:val="22"/>
                <w:szCs w:val="22"/>
                <w:lang w:val="es-CR"/>
              </w:rPr>
            </w:pPr>
            <w:r w:rsidRPr="00C041A7">
              <w:rPr>
                <w:rFonts w:ascii="Arial" w:hAnsi="Arial" w:cs="Arial"/>
                <w:b/>
                <w:bCs/>
                <w:i/>
                <w:color w:val="000000"/>
                <w:sz w:val="22"/>
                <w:szCs w:val="22"/>
                <w:lang w:val="es-CR"/>
              </w:rPr>
              <w:t>PETEC 17-21</w:t>
            </w:r>
          </w:p>
        </w:tc>
        <w:tc>
          <w:tcPr>
            <w:tcW w:w="1843" w:type="dxa"/>
            <w:shd w:val="clear" w:color="auto" w:fill="auto"/>
            <w:vAlign w:val="center"/>
          </w:tcPr>
          <w:p w:rsidR="00C041A7" w:rsidRPr="00C041A7" w:rsidRDefault="00C041A7" w:rsidP="00C041A7">
            <w:pPr>
              <w:jc w:val="center"/>
              <w:rPr>
                <w:rFonts w:ascii="Arial" w:hAnsi="Arial" w:cs="Arial"/>
                <w:b/>
                <w:bCs/>
                <w:i/>
                <w:color w:val="000000"/>
                <w:sz w:val="22"/>
                <w:szCs w:val="22"/>
                <w:lang w:val="es-CR"/>
              </w:rPr>
            </w:pPr>
            <w:r w:rsidRPr="00C041A7">
              <w:rPr>
                <w:rFonts w:ascii="Arial" w:hAnsi="Arial" w:cs="Arial"/>
                <w:b/>
                <w:bCs/>
                <w:i/>
                <w:color w:val="000000"/>
                <w:sz w:val="22"/>
                <w:szCs w:val="22"/>
                <w:lang w:val="es-CR"/>
              </w:rPr>
              <w:t>5.1.1.4.1: Porcentaje de recursos ejecutados</w:t>
            </w:r>
          </w:p>
        </w:tc>
        <w:tc>
          <w:tcPr>
            <w:tcW w:w="2060" w:type="dxa"/>
            <w:shd w:val="clear" w:color="auto" w:fill="auto"/>
            <w:vAlign w:val="center"/>
          </w:tcPr>
          <w:p w:rsidR="00C041A7" w:rsidRPr="00C041A7" w:rsidRDefault="00C041A7" w:rsidP="00C041A7">
            <w:pPr>
              <w:jc w:val="center"/>
              <w:rPr>
                <w:rFonts w:ascii="Arial" w:hAnsi="Arial" w:cs="Arial"/>
                <w:b/>
                <w:bCs/>
                <w:i/>
                <w:color w:val="000000"/>
                <w:sz w:val="22"/>
                <w:szCs w:val="22"/>
                <w:lang w:val="es-CR"/>
              </w:rPr>
            </w:pPr>
            <w:r w:rsidRPr="00C041A7">
              <w:rPr>
                <w:rFonts w:ascii="Arial" w:hAnsi="Arial" w:cs="Arial"/>
                <w:b/>
                <w:bCs/>
                <w:i/>
                <w:color w:val="000000"/>
                <w:sz w:val="22"/>
                <w:szCs w:val="22"/>
                <w:lang w:val="es-CR"/>
              </w:rPr>
              <w:t>Dirección de Rectoría</w:t>
            </w:r>
          </w:p>
          <w:p w:rsidR="00C041A7" w:rsidRPr="00C041A7" w:rsidRDefault="00C041A7" w:rsidP="00C041A7">
            <w:pPr>
              <w:jc w:val="center"/>
              <w:rPr>
                <w:rFonts w:ascii="Arial" w:hAnsi="Arial" w:cs="Arial"/>
                <w:b/>
                <w:bCs/>
                <w:i/>
                <w:color w:val="000000"/>
                <w:sz w:val="22"/>
                <w:szCs w:val="22"/>
                <w:lang w:val="es-CR"/>
              </w:rPr>
            </w:pPr>
          </w:p>
          <w:p w:rsidR="00C041A7" w:rsidRPr="00C041A7" w:rsidRDefault="00C041A7" w:rsidP="00C041A7">
            <w:pPr>
              <w:jc w:val="center"/>
              <w:rPr>
                <w:rFonts w:ascii="Arial" w:hAnsi="Arial" w:cs="Arial"/>
                <w:b/>
                <w:bCs/>
                <w:i/>
                <w:color w:val="000000"/>
                <w:sz w:val="22"/>
                <w:szCs w:val="22"/>
                <w:lang w:val="es-CR"/>
              </w:rPr>
            </w:pPr>
            <w:r w:rsidRPr="00C041A7">
              <w:rPr>
                <w:rFonts w:ascii="Arial" w:hAnsi="Arial" w:cs="Arial"/>
                <w:b/>
                <w:bCs/>
                <w:i/>
                <w:color w:val="000000"/>
                <w:sz w:val="22"/>
                <w:szCs w:val="22"/>
                <w:lang w:val="es-CR"/>
              </w:rPr>
              <w:t>DATIC</w:t>
            </w:r>
          </w:p>
        </w:tc>
        <w:tc>
          <w:tcPr>
            <w:tcW w:w="1417" w:type="dxa"/>
            <w:shd w:val="clear" w:color="auto" w:fill="auto"/>
            <w:vAlign w:val="center"/>
          </w:tcPr>
          <w:p w:rsidR="00C041A7" w:rsidRPr="00C041A7" w:rsidRDefault="00C041A7" w:rsidP="00C041A7">
            <w:pPr>
              <w:jc w:val="center"/>
              <w:rPr>
                <w:rFonts w:ascii="Arial" w:hAnsi="Arial" w:cs="Arial"/>
                <w:b/>
                <w:bCs/>
                <w:i/>
                <w:color w:val="000000"/>
                <w:sz w:val="22"/>
                <w:szCs w:val="22"/>
                <w:lang w:val="es-CR"/>
              </w:rPr>
            </w:pPr>
            <w:r w:rsidRPr="00C041A7">
              <w:rPr>
                <w:rFonts w:ascii="Arial" w:hAnsi="Arial" w:cs="Arial"/>
                <w:b/>
                <w:bCs/>
                <w:i/>
                <w:color w:val="000000"/>
                <w:sz w:val="22"/>
                <w:szCs w:val="22"/>
                <w:lang w:val="es-CR"/>
              </w:rPr>
              <w:t>G: 15</w:t>
            </w:r>
          </w:p>
          <w:p w:rsidR="00C041A7" w:rsidRPr="00C041A7" w:rsidRDefault="00C041A7" w:rsidP="00C041A7">
            <w:pPr>
              <w:jc w:val="center"/>
              <w:rPr>
                <w:rFonts w:ascii="Arial" w:hAnsi="Arial" w:cs="Arial"/>
                <w:b/>
                <w:bCs/>
                <w:i/>
                <w:color w:val="000000"/>
                <w:sz w:val="22"/>
                <w:szCs w:val="22"/>
                <w:lang w:val="es-CR"/>
              </w:rPr>
            </w:pPr>
            <w:r w:rsidRPr="00C041A7">
              <w:rPr>
                <w:rFonts w:ascii="Arial" w:hAnsi="Arial" w:cs="Arial"/>
                <w:b/>
                <w:bCs/>
                <w:i/>
                <w:color w:val="000000"/>
                <w:sz w:val="22"/>
                <w:szCs w:val="22"/>
                <w:lang w:val="es-CR"/>
              </w:rPr>
              <w:t xml:space="preserve"> </w:t>
            </w:r>
          </w:p>
          <w:p w:rsidR="00C041A7" w:rsidRPr="00C041A7" w:rsidRDefault="00C041A7" w:rsidP="00C041A7">
            <w:pPr>
              <w:jc w:val="center"/>
              <w:rPr>
                <w:rFonts w:ascii="Arial" w:hAnsi="Arial" w:cs="Arial"/>
                <w:b/>
                <w:bCs/>
                <w:i/>
                <w:color w:val="000000"/>
                <w:sz w:val="22"/>
                <w:szCs w:val="22"/>
                <w:lang w:val="es-CR"/>
              </w:rPr>
            </w:pPr>
            <w:r w:rsidRPr="00C041A7">
              <w:rPr>
                <w:rFonts w:ascii="Arial" w:hAnsi="Arial" w:cs="Arial"/>
                <w:b/>
                <w:bCs/>
                <w:i/>
                <w:color w:val="000000"/>
                <w:sz w:val="22"/>
                <w:szCs w:val="22"/>
                <w:lang w:val="es-CR"/>
              </w:rPr>
              <w:t>E: 15.2</w:t>
            </w:r>
          </w:p>
        </w:tc>
      </w:tr>
    </w:tbl>
    <w:p w:rsidR="00C041A7" w:rsidRPr="00C041A7" w:rsidRDefault="00C041A7" w:rsidP="00C041A7">
      <w:pPr>
        <w:autoSpaceDE w:val="0"/>
        <w:autoSpaceDN w:val="0"/>
        <w:adjustRightInd w:val="0"/>
        <w:rPr>
          <w:rFonts w:ascii="Arial" w:eastAsia="Calibri" w:hAnsi="Arial" w:cs="Arial"/>
          <w:i/>
          <w:color w:val="000000"/>
          <w:sz w:val="23"/>
          <w:szCs w:val="23"/>
          <w:lang w:eastAsia="en-US"/>
        </w:rPr>
      </w:pPr>
    </w:p>
    <w:p w:rsidR="00C041A7" w:rsidRPr="00C041A7" w:rsidRDefault="00C041A7" w:rsidP="00C041A7">
      <w:pPr>
        <w:jc w:val="both"/>
        <w:rPr>
          <w:rFonts w:ascii="Arial" w:hAnsi="Arial" w:cs="Arial"/>
          <w:sz w:val="22"/>
          <w:szCs w:val="22"/>
        </w:rPr>
      </w:pPr>
      <w:r w:rsidRPr="00C041A7">
        <w:rPr>
          <w:rFonts w:ascii="Arial" w:hAnsi="Arial" w:cs="Arial"/>
          <w:sz w:val="22"/>
          <w:szCs w:val="22"/>
        </w:rPr>
        <w:t>La asignación se realiza atendiendo:</w:t>
      </w:r>
    </w:p>
    <w:p w:rsidR="00C041A7" w:rsidRPr="00C041A7" w:rsidRDefault="00C041A7" w:rsidP="00C041A7">
      <w:pPr>
        <w:jc w:val="both"/>
        <w:rPr>
          <w:rFonts w:ascii="Arial" w:hAnsi="Arial" w:cs="Arial"/>
          <w:b/>
          <w:i/>
          <w:sz w:val="22"/>
          <w:szCs w:val="22"/>
        </w:rPr>
      </w:pPr>
    </w:p>
    <w:p w:rsidR="00C041A7" w:rsidRPr="00C041A7" w:rsidRDefault="00C041A7" w:rsidP="00C041A7">
      <w:pPr>
        <w:numPr>
          <w:ilvl w:val="0"/>
          <w:numId w:val="48"/>
        </w:numPr>
        <w:contextualSpacing/>
        <w:jc w:val="both"/>
        <w:rPr>
          <w:rFonts w:ascii="Arial" w:hAnsi="Arial" w:cs="Arial"/>
        </w:rPr>
      </w:pPr>
      <w:r w:rsidRPr="00C041A7">
        <w:rPr>
          <w:rFonts w:ascii="Arial" w:hAnsi="Arial" w:cs="Arial"/>
        </w:rPr>
        <w:t>Auditoría Externa 2017 a los sistemas de información del TEC realizada por el Despacho Carvajal &amp; Colegiados</w:t>
      </w:r>
    </w:p>
    <w:p w:rsidR="00C041A7" w:rsidRPr="00C041A7" w:rsidRDefault="00C041A7" w:rsidP="00C041A7">
      <w:pPr>
        <w:numPr>
          <w:ilvl w:val="0"/>
          <w:numId w:val="48"/>
        </w:numPr>
        <w:contextualSpacing/>
        <w:jc w:val="both"/>
        <w:rPr>
          <w:rFonts w:ascii="Arial" w:hAnsi="Arial" w:cs="Arial"/>
        </w:rPr>
      </w:pPr>
      <w:r w:rsidRPr="00C041A7">
        <w:rPr>
          <w:rFonts w:ascii="Arial" w:hAnsi="Arial" w:cs="Arial"/>
        </w:rPr>
        <w:t>Acuerdo de la Sesión 3078 denominada Promover el</w:t>
      </w:r>
      <w:r w:rsidRPr="00C041A7">
        <w:rPr>
          <w:rFonts w:ascii="Arial" w:hAnsi="Arial" w:cs="Arial"/>
          <w:color w:val="FF0000"/>
          <w:sz w:val="22"/>
          <w:szCs w:val="22"/>
        </w:rPr>
        <w:t xml:space="preserve"> </w:t>
      </w:r>
      <w:r w:rsidRPr="00C041A7">
        <w:rPr>
          <w:rFonts w:ascii="Arial" w:hAnsi="Arial" w:cs="Arial"/>
        </w:rPr>
        <w:t xml:space="preserve">desarrollo de las </w:t>
      </w:r>
      <w:proofErr w:type="spellStart"/>
      <w:r w:rsidRPr="00C041A7">
        <w:rPr>
          <w:rFonts w:ascii="Arial" w:hAnsi="Arial" w:cs="Arial"/>
        </w:rPr>
        <w:t>TIC´s</w:t>
      </w:r>
      <w:proofErr w:type="spellEnd"/>
      <w:r w:rsidRPr="00C041A7">
        <w:rPr>
          <w:rFonts w:ascii="Arial" w:hAnsi="Arial" w:cs="Arial"/>
        </w:rPr>
        <w:t xml:space="preserve"> en el TEC.</w:t>
      </w:r>
    </w:p>
    <w:p w:rsidR="00956670" w:rsidRPr="00956670" w:rsidRDefault="00956670" w:rsidP="001E1E49">
      <w:pPr>
        <w:jc w:val="both"/>
        <w:rPr>
          <w:rFonts w:ascii="Arial" w:eastAsia="Cambria" w:hAnsi="Arial" w:cs="Arial"/>
          <w:lang w:eastAsia="en-US"/>
        </w:rPr>
      </w:pPr>
    </w:p>
    <w:p w:rsidR="001E1E49" w:rsidRPr="001A7DF9" w:rsidRDefault="003859C1" w:rsidP="00C041A7">
      <w:pPr>
        <w:numPr>
          <w:ilvl w:val="0"/>
          <w:numId w:val="45"/>
        </w:numPr>
        <w:ind w:left="350"/>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r w:rsidR="00995F34">
        <w:rPr>
          <w:rFonts w:ascii="Arial" w:hAnsi="Arial" w:cs="Arial"/>
          <w:b/>
          <w:lang w:val="es-CR"/>
        </w:rPr>
        <w:t>.</w:t>
      </w:r>
    </w:p>
    <w:p w:rsidR="001A7DF9" w:rsidRDefault="001A7DF9" w:rsidP="001A7DF9">
      <w:pPr>
        <w:autoSpaceDE w:val="0"/>
        <w:autoSpaceDN w:val="0"/>
        <w:adjustRightInd w:val="0"/>
        <w:ind w:right="-91"/>
        <w:jc w:val="both"/>
        <w:rPr>
          <w:rFonts w:ascii="Arial" w:hAnsi="Arial" w:cs="Arial"/>
          <w:b/>
          <w:sz w:val="22"/>
          <w:szCs w:val="22"/>
          <w:lang w:val="es-CR"/>
        </w:rPr>
      </w:pPr>
    </w:p>
    <w:p w:rsidR="00C041A7" w:rsidRDefault="00C041A7" w:rsidP="001A7DF9">
      <w:pPr>
        <w:autoSpaceDE w:val="0"/>
        <w:autoSpaceDN w:val="0"/>
        <w:adjustRightInd w:val="0"/>
        <w:ind w:right="-91"/>
        <w:jc w:val="both"/>
        <w:rPr>
          <w:rFonts w:ascii="Arial" w:hAnsi="Arial" w:cs="Arial"/>
          <w:b/>
          <w:sz w:val="22"/>
          <w:szCs w:val="22"/>
          <w:lang w:val="es-CR"/>
        </w:rPr>
      </w:pPr>
    </w:p>
    <w:p w:rsidR="00C041A7" w:rsidRPr="00C041A7" w:rsidRDefault="00C041A7" w:rsidP="00C041A7">
      <w:pPr>
        <w:rPr>
          <w:rFonts w:ascii="Arial" w:eastAsia="Cambria" w:hAnsi="Arial" w:cs="Arial"/>
          <w:b/>
          <w:i/>
          <w:sz w:val="18"/>
          <w:szCs w:val="18"/>
          <w:lang w:eastAsia="en-US"/>
        </w:rPr>
      </w:pPr>
      <w:r w:rsidRPr="00C041A7">
        <w:rPr>
          <w:rFonts w:ascii="Arial" w:hAnsi="Arial" w:cs="Arial"/>
          <w:b/>
          <w:i/>
          <w:sz w:val="18"/>
          <w:szCs w:val="18"/>
        </w:rPr>
        <w:t xml:space="preserve">Palabras Clave: Modificación – meta – 5.1.1.4 – PAO 2018 </w:t>
      </w:r>
      <w:r w:rsidRPr="00C041A7">
        <w:rPr>
          <w:rFonts w:ascii="Arial" w:eastAsia="Cambria" w:hAnsi="Arial" w:cs="Arial"/>
          <w:b/>
          <w:i/>
          <w:sz w:val="18"/>
          <w:szCs w:val="18"/>
          <w:lang w:eastAsia="en-US"/>
        </w:rPr>
        <w:t xml:space="preserve"> </w:t>
      </w:r>
    </w:p>
    <w:p w:rsidR="001A7DF9" w:rsidRPr="00C041A7" w:rsidRDefault="001A7DF9" w:rsidP="001A7DF9">
      <w:pPr>
        <w:autoSpaceDE w:val="0"/>
        <w:autoSpaceDN w:val="0"/>
        <w:adjustRightInd w:val="0"/>
        <w:ind w:right="-91"/>
        <w:jc w:val="both"/>
        <w:rPr>
          <w:rFonts w:ascii="Arial" w:hAnsi="Arial" w:cs="Arial"/>
          <w:b/>
          <w:sz w:val="22"/>
          <w:szCs w:val="22"/>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E15F0C">
        <w:trPr>
          <w:trHeight w:val="183"/>
        </w:trPr>
        <w:tc>
          <w:tcPr>
            <w:tcW w:w="4361" w:type="dxa"/>
          </w:tcPr>
          <w:p w:rsidR="00F4695B" w:rsidRPr="00474B22" w:rsidRDefault="00F4695B" w:rsidP="00E15F0C">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C0D34" w:rsidRDefault="002C0D34"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3651A" w:rsidRDefault="00956670" w:rsidP="00F41044">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F41044" w:rsidRDefault="00F41044" w:rsidP="00F41044">
      <w:pPr>
        <w:jc w:val="both"/>
        <w:rPr>
          <w:rFonts w:ascii="Arial" w:hAnsi="Arial" w:cs="Arial"/>
          <w:lang w:val="es-CR"/>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p w:rsidR="002C0D34" w:rsidRPr="00F41044" w:rsidRDefault="002C0D34" w:rsidP="00F41044">
      <w:pPr>
        <w:jc w:val="both"/>
        <w:rPr>
          <w:rFonts w:ascii="Arial" w:eastAsia="Cambria" w:hAnsi="Arial" w:cs="Arial"/>
          <w:sz w:val="22"/>
          <w:szCs w:val="22"/>
          <w:lang w:eastAsia="en-US"/>
        </w:rPr>
      </w:pPr>
    </w:p>
    <w:sectPr w:rsidR="002C0D3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312" w:rsidRDefault="00E52312">
      <w:r>
        <w:separator/>
      </w:r>
    </w:p>
  </w:endnote>
  <w:endnote w:type="continuationSeparator" w:id="0">
    <w:p w:rsidR="00E52312" w:rsidRDefault="00E5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312" w:rsidRDefault="00E52312">
      <w:r>
        <w:separator/>
      </w:r>
    </w:p>
  </w:footnote>
  <w:footnote w:type="continuationSeparator" w:id="0">
    <w:p w:rsidR="00E52312" w:rsidRDefault="00E52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FF209C">
      <w:rPr>
        <w:rFonts w:ascii="Arial" w:eastAsia="Cambria" w:hAnsi="Arial" w:cs="Arial"/>
        <w:i/>
        <w:sz w:val="18"/>
        <w:szCs w:val="18"/>
        <w:lang w:val="es-ES_tradnl" w:eastAsia="x-none"/>
      </w:rPr>
      <w:t>7</w:t>
    </w:r>
    <w:r w:rsidR="00E15F0C">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E15F0C">
      <w:rPr>
        <w:rFonts w:ascii="Arial" w:eastAsia="Cambria" w:hAnsi="Arial" w:cs="Arial"/>
        <w:i/>
        <w:sz w:val="18"/>
        <w:szCs w:val="18"/>
        <w:lang w:val="es-ES_tradnl" w:eastAsia="x-none"/>
      </w:rPr>
      <w:t>1</w:t>
    </w:r>
    <w:r w:rsidR="00C041A7">
      <w:rPr>
        <w:rFonts w:ascii="Arial" w:eastAsia="Cambria" w:hAnsi="Arial" w:cs="Arial"/>
        <w:i/>
        <w:sz w:val="18"/>
        <w:szCs w:val="18"/>
        <w:lang w:val="es-ES_tradnl" w:eastAsia="x-none"/>
      </w:rPr>
      <w:t>6</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F52439">
      <w:rPr>
        <w:rFonts w:ascii="Arial" w:eastAsia="Cambria" w:hAnsi="Arial" w:cs="Arial"/>
        <w:i/>
        <w:sz w:val="18"/>
        <w:szCs w:val="18"/>
        <w:lang w:val="es-ES_tradnl" w:eastAsia="x-none"/>
      </w:rPr>
      <w:t>2</w:t>
    </w:r>
    <w:r w:rsidR="00E15F0C">
      <w:rPr>
        <w:rFonts w:ascii="Arial" w:eastAsia="Cambria" w:hAnsi="Arial" w:cs="Arial"/>
        <w:i/>
        <w:sz w:val="18"/>
        <w:szCs w:val="18"/>
        <w:lang w:val="es-ES_tradnl" w:eastAsia="x-none"/>
      </w:rPr>
      <w:t>7</w:t>
    </w:r>
    <w:r w:rsidR="00C55D84">
      <w:rPr>
        <w:rFonts w:ascii="Arial" w:eastAsia="Cambria" w:hAnsi="Arial" w:cs="Arial"/>
        <w:i/>
        <w:sz w:val="18"/>
        <w:szCs w:val="18"/>
        <w:lang w:val="es-ES_tradnl" w:eastAsia="x-none"/>
      </w:rPr>
      <w:t xml:space="preserve"> de </w:t>
    </w:r>
    <w:r w:rsidR="002B4AA8">
      <w:rPr>
        <w:rFonts w:ascii="Arial" w:eastAsia="Cambria" w:hAnsi="Arial" w:cs="Arial"/>
        <w:i/>
        <w:sz w:val="18"/>
        <w:szCs w:val="18"/>
        <w:lang w:val="es-ES_tradnl" w:eastAsia="x-none"/>
      </w:rPr>
      <w:t>junio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AB7C61">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7B"/>
    <w:multiLevelType w:val="hybridMultilevel"/>
    <w:tmpl w:val="82CA2488"/>
    <w:lvl w:ilvl="0" w:tplc="DC727E2E">
      <w:start w:val="1"/>
      <w:numFmt w:val="decimal"/>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4B13F6"/>
    <w:multiLevelType w:val="hybridMultilevel"/>
    <w:tmpl w:val="FDBA58BC"/>
    <w:lvl w:ilvl="0" w:tplc="A5A662BA">
      <w:start w:val="1"/>
      <w:numFmt w:val="decimal"/>
      <w:lvlText w:val="%1."/>
      <w:lvlJc w:val="left"/>
      <w:pPr>
        <w:ind w:left="720" w:hanging="360"/>
      </w:pPr>
      <w:rPr>
        <w:rFonts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3"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5D01FAE"/>
    <w:multiLevelType w:val="hybridMultilevel"/>
    <w:tmpl w:val="D34A3FCC"/>
    <w:lvl w:ilvl="0" w:tplc="FCB2CC72">
      <w:start w:val="1"/>
      <w:numFmt w:val="lowerLetter"/>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AD300B6"/>
    <w:multiLevelType w:val="hybridMultilevel"/>
    <w:tmpl w:val="06AA2A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0D4534B8"/>
    <w:multiLevelType w:val="hybridMultilevel"/>
    <w:tmpl w:val="881AD67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0E157E37"/>
    <w:multiLevelType w:val="hybridMultilevel"/>
    <w:tmpl w:val="EE8E66CA"/>
    <w:lvl w:ilvl="0" w:tplc="D66EC9A6">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B734C35"/>
    <w:multiLevelType w:val="hybridMultilevel"/>
    <w:tmpl w:val="10DAF244"/>
    <w:lvl w:ilvl="0" w:tplc="33BAC230">
      <w:start w:val="1"/>
      <w:numFmt w:val="decimal"/>
      <w:lvlText w:val="%1."/>
      <w:lvlJc w:val="left"/>
      <w:pPr>
        <w:ind w:left="786" w:hanging="360"/>
      </w:pPr>
      <w:rPr>
        <w:rFonts w:ascii="Arial" w:hAnsi="Arial" w:cs="Arial" w:hint="default"/>
        <w:b/>
        <w:i w:val="0"/>
        <w:color w:val="auto"/>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3" w15:restartNumberingAfterBreak="0">
    <w:nsid w:val="275D4930"/>
    <w:multiLevelType w:val="hybridMultilevel"/>
    <w:tmpl w:val="7D582748"/>
    <w:lvl w:ilvl="0" w:tplc="6DC6AD28">
      <w:start w:val="1"/>
      <w:numFmt w:val="lowerLetter"/>
      <w:lvlText w:val="%1."/>
      <w:lvlJc w:val="left"/>
      <w:pPr>
        <w:ind w:left="720" w:hanging="360"/>
      </w:pPr>
      <w:rPr>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15:restartNumberingAfterBreak="0">
    <w:nsid w:val="31914A72"/>
    <w:multiLevelType w:val="hybridMultilevel"/>
    <w:tmpl w:val="88489E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33A08C1"/>
    <w:multiLevelType w:val="hybridMultilevel"/>
    <w:tmpl w:val="2086211A"/>
    <w:lvl w:ilvl="0" w:tplc="790E9876">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4BA7C37"/>
    <w:multiLevelType w:val="hybridMultilevel"/>
    <w:tmpl w:val="6980EF50"/>
    <w:lvl w:ilvl="0" w:tplc="55B2FAAA">
      <w:start w:val="1"/>
      <w:numFmt w:val="decimal"/>
      <w:lvlText w:val="%1."/>
      <w:lvlJc w:val="left"/>
      <w:pPr>
        <w:ind w:left="720" w:hanging="360"/>
      </w:pPr>
      <w:rPr>
        <w:rFonts w:ascii="Arial" w:hAnsi="Arial" w:cs="Arial" w:hint="default"/>
        <w:b/>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8600626"/>
    <w:multiLevelType w:val="hybridMultilevel"/>
    <w:tmpl w:val="39F01FBC"/>
    <w:lvl w:ilvl="0" w:tplc="140A0019">
      <w:start w:val="1"/>
      <w:numFmt w:val="lowerLetter"/>
      <w:lvlText w:val="%1."/>
      <w:lvlJc w:val="left"/>
      <w:pPr>
        <w:ind w:left="786" w:hanging="360"/>
      </w:pPr>
      <w:rPr>
        <w:rFonts w:hint="default"/>
        <w:b/>
        <w:i w:val="0"/>
        <w:color w:val="auto"/>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8973B45"/>
    <w:multiLevelType w:val="hybridMultilevel"/>
    <w:tmpl w:val="1C9E47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284061F"/>
    <w:multiLevelType w:val="multilevel"/>
    <w:tmpl w:val="56D6E124"/>
    <w:lvl w:ilvl="0">
      <w:start w:val="1"/>
      <w:numFmt w:val="decimal"/>
      <w:lvlText w:val="%1."/>
      <w:lvlJc w:val="left"/>
      <w:pPr>
        <w:ind w:left="360" w:hanging="360"/>
      </w:pPr>
      <w:rPr>
        <w:b/>
      </w:rPr>
    </w:lvl>
    <w:lvl w:ilvl="1">
      <w:start w:val="1"/>
      <w:numFmt w:val="decimal"/>
      <w:isLgl/>
      <w:lvlText w:val="%1.%2"/>
      <w:lvlJc w:val="left"/>
      <w:pPr>
        <w:ind w:left="1062" w:hanging="49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24" w15:restartNumberingAfterBreak="0">
    <w:nsid w:val="44750745"/>
    <w:multiLevelType w:val="hybridMultilevel"/>
    <w:tmpl w:val="45322698"/>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5" w15:restartNumberingAfterBreak="0">
    <w:nsid w:val="476D5DD6"/>
    <w:multiLevelType w:val="hybridMultilevel"/>
    <w:tmpl w:val="CD5CC008"/>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9726677"/>
    <w:multiLevelType w:val="hybridMultilevel"/>
    <w:tmpl w:val="D31674B4"/>
    <w:lvl w:ilvl="0" w:tplc="F5A0BF50">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6D1BDE"/>
    <w:multiLevelType w:val="hybridMultilevel"/>
    <w:tmpl w:val="A92C9E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D2A4FB1"/>
    <w:multiLevelType w:val="hybridMultilevel"/>
    <w:tmpl w:val="B56C8292"/>
    <w:lvl w:ilvl="0" w:tplc="BCBE7286">
      <w:start w:val="1"/>
      <w:numFmt w:val="decimal"/>
      <w:lvlText w:val="%1."/>
      <w:lvlJc w:val="left"/>
      <w:pPr>
        <w:ind w:left="360" w:hanging="360"/>
      </w:pPr>
      <w:rPr>
        <w:rFonts w:hint="default"/>
        <w:b/>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32" w15:restartNumberingAfterBreak="0">
    <w:nsid w:val="6399399C"/>
    <w:multiLevelType w:val="hybridMultilevel"/>
    <w:tmpl w:val="EEEC5288"/>
    <w:lvl w:ilvl="0" w:tplc="93188B1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3CA7D28"/>
    <w:multiLevelType w:val="hybridMultilevel"/>
    <w:tmpl w:val="7A0E0FAC"/>
    <w:lvl w:ilvl="0" w:tplc="7CD8C9E6">
      <w:start w:val="1"/>
      <w:numFmt w:val="bullet"/>
      <w:lvlText w:val=""/>
      <w:lvlJc w:val="left"/>
      <w:pPr>
        <w:ind w:left="1571" w:hanging="360"/>
      </w:pPr>
      <w:rPr>
        <w:rFonts w:ascii="Symbol" w:hAnsi="Symbol" w:hint="default"/>
        <w:sz w:val="22"/>
        <w:szCs w:val="22"/>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4" w15:restartNumberingAfterBreak="0">
    <w:nsid w:val="6645336B"/>
    <w:multiLevelType w:val="hybridMultilevel"/>
    <w:tmpl w:val="4D24C1BC"/>
    <w:lvl w:ilvl="0" w:tplc="C79098A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D925AC1"/>
    <w:multiLevelType w:val="hybridMultilevel"/>
    <w:tmpl w:val="F0860A88"/>
    <w:lvl w:ilvl="0" w:tplc="13EEF42C">
      <w:start w:val="2"/>
      <w:numFmt w:val="upperRoman"/>
      <w:lvlText w:val="%1."/>
      <w:lvlJc w:val="right"/>
      <w:pPr>
        <w:tabs>
          <w:tab w:val="num" w:pos="1080"/>
        </w:tabs>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EB265A2"/>
    <w:multiLevelType w:val="hybridMultilevel"/>
    <w:tmpl w:val="5ABE93E4"/>
    <w:lvl w:ilvl="0" w:tplc="FFE0BDD8">
      <w:start w:val="1"/>
      <w:numFmt w:val="decimal"/>
      <w:lvlText w:val="%1."/>
      <w:lvlJc w:val="left"/>
      <w:pPr>
        <w:ind w:left="720" w:hanging="360"/>
      </w:pPr>
      <w:rPr>
        <w:rFonts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F920316"/>
    <w:multiLevelType w:val="hybridMultilevel"/>
    <w:tmpl w:val="461C043A"/>
    <w:lvl w:ilvl="0" w:tplc="4C748228">
      <w:start w:val="1"/>
      <w:numFmt w:val="lowerLetter"/>
      <w:lvlText w:val="%1."/>
      <w:lvlJc w:val="left"/>
      <w:pPr>
        <w:ind w:left="720" w:hanging="360"/>
      </w:pPr>
      <w:rPr>
        <w:rFonts w:hint="eastAsia"/>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48722D7"/>
    <w:multiLevelType w:val="hybridMultilevel"/>
    <w:tmpl w:val="3B0CA3DC"/>
    <w:lvl w:ilvl="0" w:tplc="5128BA4C">
      <w:start w:val="1"/>
      <w:numFmt w:val="lowerLetter"/>
      <w:lvlText w:val="%1."/>
      <w:lvlJc w:val="left"/>
      <w:pPr>
        <w:ind w:left="720" w:hanging="360"/>
      </w:pPr>
      <w:rPr>
        <w:b/>
        <w:strike w:val="0"/>
        <w:sz w:val="24"/>
        <w:szCs w:val="24"/>
      </w:rPr>
    </w:lvl>
    <w:lvl w:ilvl="1" w:tplc="AC3888C8">
      <w:start w:val="1"/>
      <w:numFmt w:val="decimal"/>
      <w:lvlText w:val="%2."/>
      <w:lvlJc w:val="left"/>
      <w:pPr>
        <w:ind w:left="1440" w:hanging="360"/>
      </w:pPr>
      <w:rPr>
        <w:rFonts w:ascii="Arial" w:hAnsi="Arial" w:cs="Arial" w:hint="default"/>
        <w:b/>
        <w:i w:val="0"/>
        <w:color w:val="auto"/>
        <w:sz w:val="24"/>
        <w:szCs w:val="24"/>
      </w:rPr>
    </w:lvl>
    <w:lvl w:ilvl="2" w:tplc="140A001B">
      <w:start w:val="1"/>
      <w:numFmt w:val="lowerRoman"/>
      <w:lvlText w:val="%3."/>
      <w:lvlJc w:val="right"/>
      <w:pPr>
        <w:ind w:left="2160" w:hanging="180"/>
      </w:pPr>
      <w:rPr>
        <w:rFonts w:hint="default"/>
        <w:b w:val="0"/>
        <w:i w:val="0"/>
        <w:color w:val="auto"/>
        <w:sz w:val="24"/>
        <w:szCs w:val="24"/>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6230178"/>
    <w:multiLevelType w:val="hybridMultilevel"/>
    <w:tmpl w:val="F03E3D2C"/>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2" w15:restartNumberingAfterBreak="0">
    <w:nsid w:val="778A33F1"/>
    <w:multiLevelType w:val="hybridMultilevel"/>
    <w:tmpl w:val="550282CC"/>
    <w:lvl w:ilvl="0" w:tplc="5CFE105E">
      <w:start w:val="1"/>
      <w:numFmt w:val="decimal"/>
      <w:lvlText w:val="%1."/>
      <w:lvlJc w:val="left"/>
      <w:pPr>
        <w:ind w:left="786" w:hanging="360"/>
      </w:pPr>
      <w:rPr>
        <w:rFonts w:hint="default"/>
        <w:i/>
        <w:sz w:val="22"/>
        <w:szCs w:val="22"/>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3" w15:restartNumberingAfterBreak="0">
    <w:nsid w:val="79E92A68"/>
    <w:multiLevelType w:val="multilevel"/>
    <w:tmpl w:val="0D2A50CC"/>
    <w:lvl w:ilvl="0">
      <w:start w:val="5"/>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4" w15:restartNumberingAfterBreak="0">
    <w:nsid w:val="7BEE382C"/>
    <w:multiLevelType w:val="hybridMultilevel"/>
    <w:tmpl w:val="8690D7B2"/>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5AA877A8">
      <w:start w:val="1"/>
      <w:numFmt w:val="lowerLetter"/>
      <w:lvlText w:val="%2."/>
      <w:lvlJc w:val="left"/>
      <w:pPr>
        <w:ind w:left="447" w:hanging="360"/>
      </w:pPr>
      <w:rPr>
        <w:b/>
      </w:r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45" w15:restartNumberingAfterBreak="0">
    <w:nsid w:val="7C300293"/>
    <w:multiLevelType w:val="hybridMultilevel"/>
    <w:tmpl w:val="D7E04F3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40"/>
  </w:num>
  <w:num w:numId="3">
    <w:abstractNumId w:val="27"/>
  </w:num>
  <w:num w:numId="4">
    <w:abstractNumId w:val="2"/>
  </w:num>
  <w:num w:numId="5">
    <w:abstractNumId w:val="14"/>
  </w:num>
  <w:num w:numId="6">
    <w:abstractNumId w:val="30"/>
  </w:num>
  <w:num w:numId="7">
    <w:abstractNumId w:val="15"/>
  </w:num>
  <w:num w:numId="8">
    <w:abstractNumId w:val="8"/>
  </w:num>
  <w:num w:numId="9">
    <w:abstractNumId w:val="22"/>
  </w:num>
  <w:num w:numId="10">
    <w:abstractNumId w:val="12"/>
  </w:num>
  <w:num w:numId="11">
    <w:abstractNumId w:val="31"/>
  </w:num>
  <w:num w:numId="12">
    <w:abstractNumId w:val="35"/>
  </w:num>
  <w:num w:numId="13">
    <w:abstractNumId w:val="21"/>
  </w:num>
  <w:num w:numId="14">
    <w:abstractNumId w:val="29"/>
  </w:num>
  <w:num w:numId="15">
    <w:abstractNumId w:val="0"/>
  </w:num>
  <w:num w:numId="16">
    <w:abstractNumId w:val="13"/>
  </w:num>
  <w:num w:numId="17">
    <w:abstractNumId w:val="11"/>
  </w:num>
  <w:num w:numId="18">
    <w:abstractNumId w:val="34"/>
  </w:num>
  <w:num w:numId="19">
    <w:abstractNumId w:val="23"/>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3"/>
  </w:num>
  <w:num w:numId="26">
    <w:abstractNumId w:val="25"/>
  </w:num>
  <w:num w:numId="27">
    <w:abstractNumId w:val="26"/>
  </w:num>
  <w:num w:numId="28">
    <w:abstractNumId w:val="17"/>
  </w:num>
  <w:num w:numId="29">
    <w:abstractNumId w:val="42"/>
  </w:num>
  <w:num w:numId="30">
    <w:abstractNumId w:val="5"/>
  </w:num>
  <w:num w:numId="31">
    <w:abstractNumId w:val="28"/>
  </w:num>
  <w:num w:numId="32">
    <w:abstractNumId w:val="16"/>
  </w:num>
  <w:num w:numId="33">
    <w:abstractNumId w:val="20"/>
  </w:num>
  <w:num w:numId="34">
    <w:abstractNumId w:val="36"/>
  </w:num>
  <w:num w:numId="35">
    <w:abstractNumId w:val="39"/>
  </w:num>
  <w:num w:numId="36">
    <w:abstractNumId w:val="45"/>
  </w:num>
  <w:num w:numId="37">
    <w:abstractNumId w:val="43"/>
  </w:num>
  <w:num w:numId="38">
    <w:abstractNumId w:val="1"/>
  </w:num>
  <w:num w:numId="39">
    <w:abstractNumId w:val="9"/>
  </w:num>
  <w:num w:numId="40">
    <w:abstractNumId w:val="37"/>
  </w:num>
  <w:num w:numId="41">
    <w:abstractNumId w:val="7"/>
  </w:num>
  <w:num w:numId="42">
    <w:abstractNumId w:val="18"/>
  </w:num>
  <w:num w:numId="43">
    <w:abstractNumId w:val="4"/>
  </w:num>
  <w:num w:numId="44">
    <w:abstractNumId w:val="41"/>
  </w:num>
  <w:num w:numId="45">
    <w:abstractNumId w:val="38"/>
  </w:num>
  <w:num w:numId="46">
    <w:abstractNumId w:val="10"/>
  </w:num>
  <w:num w:numId="47">
    <w:abstractNumId w:val="19"/>
  </w:num>
  <w:num w:numId="48">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5F79E5"/>
    <w:rsid w:val="00603C4D"/>
    <w:rsid w:val="006059E6"/>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8A7"/>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45DB"/>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B7C61"/>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41A7"/>
    <w:rsid w:val="00C0578A"/>
    <w:rsid w:val="00C06CDD"/>
    <w:rsid w:val="00C07AED"/>
    <w:rsid w:val="00C1061F"/>
    <w:rsid w:val="00C10AC0"/>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651"/>
    <w:rsid w:val="00CF3F70"/>
    <w:rsid w:val="00D00E82"/>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53C"/>
    <w:rsid w:val="00E07EE4"/>
    <w:rsid w:val="00E11488"/>
    <w:rsid w:val="00E12B5E"/>
    <w:rsid w:val="00E158A2"/>
    <w:rsid w:val="00E15F0C"/>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312"/>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58B3"/>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244FF5"/>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styleId="Sangra2detindependiente">
    <w:name w:val="Body Text Indent 2"/>
    <w:basedOn w:val="Normal"/>
    <w:link w:val="Sangra2detindependienteCar"/>
    <w:rsid w:val="00C041A7"/>
    <w:pPr>
      <w:spacing w:after="120" w:line="480" w:lineRule="auto"/>
      <w:ind w:left="283"/>
    </w:pPr>
  </w:style>
  <w:style w:type="character" w:customStyle="1" w:styleId="Sangra2detindependienteCar">
    <w:name w:val="Sangría 2 de t. independiente Car"/>
    <w:basedOn w:val="Fuentedeprrafopredeter"/>
    <w:link w:val="Sangra2detindependiente"/>
    <w:rsid w:val="00C041A7"/>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FF42A-2781-4130-B7DD-68A19EB0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1340</Words>
  <Characters>7430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27</cp:revision>
  <cp:lastPrinted>2018-06-27T22:28:00Z</cp:lastPrinted>
  <dcterms:created xsi:type="dcterms:W3CDTF">2018-05-02T21:37:00Z</dcterms:created>
  <dcterms:modified xsi:type="dcterms:W3CDTF">2018-06-28T17:27:00Z</dcterms:modified>
</cp:coreProperties>
</file>